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F02" w:rsidRDefault="00D86F02" w:rsidP="00D86F02">
      <w:pPr>
        <w:spacing w:after="0" w:line="360" w:lineRule="auto"/>
        <w:jc w:val="both"/>
        <w:rPr>
          <w:rFonts w:ascii="Palatino Linotype" w:hAnsi="Palatino Linotype"/>
          <w:b/>
          <w:sz w:val="24"/>
          <w:szCs w:val="24"/>
        </w:rPr>
      </w:pPr>
    </w:p>
    <w:p w:rsidR="00D86F02" w:rsidRPr="00B51880" w:rsidRDefault="00D86F02" w:rsidP="00D86F02">
      <w:pPr>
        <w:spacing w:after="0" w:line="360" w:lineRule="auto"/>
        <w:jc w:val="both"/>
        <w:rPr>
          <w:rFonts w:ascii="Palatino Linotype" w:hAnsi="Palatino Linotype"/>
          <w:b/>
          <w:sz w:val="24"/>
          <w:szCs w:val="24"/>
        </w:rPr>
      </w:pPr>
      <w:r w:rsidRPr="00B51880">
        <w:rPr>
          <w:rFonts w:ascii="Palatino Linotype" w:hAnsi="Palatino Linotype"/>
          <w:b/>
          <w:sz w:val="24"/>
          <w:szCs w:val="24"/>
        </w:rPr>
        <w:t xml:space="preserve">VOTO PARTICULAR QUE FORMULA EL COMISIONADO JAVIER MARTÍNEZ CRUZ, EN RELACIÓN CON LA RESOLUCIÓN DICTADA POR EL PLENO DEL INSTITUTO DE TRANSPARENCIA, ACCESO A LA INFORMACIÓN PÚBLICA Y PROTECCIÓN DE DATOS PERSONALES DEL ESTADO DE MÉXICO Y MUNICIPIOS, EN LA </w:t>
      </w:r>
      <w:r>
        <w:rPr>
          <w:rFonts w:ascii="Palatino Linotype" w:hAnsi="Palatino Linotype"/>
          <w:b/>
          <w:sz w:val="24"/>
          <w:szCs w:val="24"/>
        </w:rPr>
        <w:t xml:space="preserve">CUADRAGÉSIMA PRIMER </w:t>
      </w:r>
      <w:r w:rsidRPr="00B51880">
        <w:rPr>
          <w:rFonts w:ascii="Palatino Linotype" w:hAnsi="Palatino Linotype"/>
          <w:b/>
          <w:sz w:val="24"/>
          <w:szCs w:val="24"/>
        </w:rPr>
        <w:t xml:space="preserve">SESIÓN ORDINARIA DEL </w:t>
      </w:r>
      <w:r>
        <w:rPr>
          <w:rFonts w:ascii="Palatino Linotype" w:hAnsi="Palatino Linotype"/>
          <w:b/>
          <w:sz w:val="24"/>
          <w:szCs w:val="24"/>
        </w:rPr>
        <w:t xml:space="preserve">SIETE DE NOVIEMBRE DE </w:t>
      </w:r>
      <w:r w:rsidRPr="00B51880">
        <w:rPr>
          <w:rFonts w:ascii="Palatino Linotype" w:hAnsi="Palatino Linotype"/>
          <w:b/>
          <w:sz w:val="24"/>
          <w:szCs w:val="24"/>
        </w:rPr>
        <w:t>DOS MIL DIECI</w:t>
      </w:r>
      <w:r>
        <w:rPr>
          <w:rFonts w:ascii="Palatino Linotype" w:hAnsi="Palatino Linotype"/>
          <w:b/>
          <w:sz w:val="24"/>
          <w:szCs w:val="24"/>
        </w:rPr>
        <w:t>OCHO</w:t>
      </w:r>
      <w:r w:rsidRPr="00B51880">
        <w:rPr>
          <w:rFonts w:ascii="Palatino Linotype" w:hAnsi="Palatino Linotype"/>
          <w:b/>
          <w:sz w:val="24"/>
          <w:szCs w:val="24"/>
        </w:rPr>
        <w:t xml:space="preserve">, EN EL RECURSO DE REVISIÓN </w:t>
      </w:r>
      <w:r w:rsidR="001B7A04">
        <w:rPr>
          <w:rFonts w:ascii="Palatino Linotype" w:hAnsi="Palatino Linotype"/>
          <w:b/>
          <w:sz w:val="24"/>
          <w:szCs w:val="24"/>
        </w:rPr>
        <w:t>03402</w:t>
      </w:r>
      <w:r w:rsidRPr="00B51880">
        <w:rPr>
          <w:rFonts w:ascii="Palatino Linotype" w:hAnsi="Palatino Linotype"/>
          <w:b/>
          <w:sz w:val="24"/>
          <w:szCs w:val="24"/>
          <w:lang w:val="es-ES_tradnl"/>
        </w:rPr>
        <w:t>/INFOEM/IP/RR/201</w:t>
      </w:r>
      <w:r>
        <w:rPr>
          <w:rFonts w:ascii="Palatino Linotype" w:hAnsi="Palatino Linotype"/>
          <w:b/>
          <w:sz w:val="24"/>
          <w:szCs w:val="24"/>
          <w:lang w:val="es-ES_tradnl"/>
        </w:rPr>
        <w:t>8.</w:t>
      </w:r>
    </w:p>
    <w:p w:rsidR="00D86F02" w:rsidRPr="00962155" w:rsidRDefault="00D86F02" w:rsidP="00D86F02">
      <w:pPr>
        <w:spacing w:after="0" w:line="360" w:lineRule="auto"/>
        <w:jc w:val="both"/>
        <w:rPr>
          <w:rFonts w:ascii="Palatino Linotype" w:hAnsi="Palatino Linotype"/>
          <w:sz w:val="16"/>
          <w:szCs w:val="16"/>
        </w:rPr>
      </w:pPr>
    </w:p>
    <w:p w:rsidR="00D86F02" w:rsidRPr="005E7F58" w:rsidRDefault="00D86F02" w:rsidP="00D86F02">
      <w:pPr>
        <w:spacing w:after="0" w:line="360" w:lineRule="auto"/>
        <w:jc w:val="both"/>
        <w:rPr>
          <w:rFonts w:ascii="Palatino Linotype" w:hAnsi="Palatino Linotype"/>
          <w:sz w:val="24"/>
          <w:szCs w:val="24"/>
        </w:rPr>
      </w:pPr>
      <w:r w:rsidRPr="005E7F58">
        <w:rPr>
          <w:rFonts w:ascii="Palatino Linotype" w:hAnsi="Palatino Linotype"/>
          <w:sz w:val="24"/>
          <w:szCs w:val="24"/>
        </w:rPr>
        <w:t xml:space="preserve">Con fundamento en lo dispuesto por el artículo 14, fracciones X y XI, del Reglamento del Instituto de Transparencia, Acceso a la Información Pública y Protección de Datos Personales del Estado de México, el Comisionado Javier Martínez Cruz emite </w:t>
      </w:r>
      <w:r w:rsidRPr="005E7F58">
        <w:rPr>
          <w:rFonts w:ascii="Palatino Linotype" w:hAnsi="Palatino Linotype"/>
          <w:b/>
          <w:sz w:val="24"/>
          <w:szCs w:val="24"/>
        </w:rPr>
        <w:t>VOTO PARTICULAR</w:t>
      </w:r>
      <w:r w:rsidRPr="005E7F58">
        <w:rPr>
          <w:rFonts w:ascii="Palatino Linotype" w:hAnsi="Palatino Linotype"/>
          <w:sz w:val="24"/>
          <w:szCs w:val="24"/>
        </w:rPr>
        <w:t xml:space="preserve"> respecto a la resolución dictada en el recurso de revisión número </w:t>
      </w:r>
      <w:r w:rsidRPr="005E7F58">
        <w:rPr>
          <w:rFonts w:ascii="Palatino Linotype" w:hAnsi="Palatino Linotype"/>
          <w:b/>
          <w:sz w:val="24"/>
          <w:szCs w:val="24"/>
          <w:lang w:val="es-ES_tradnl"/>
        </w:rPr>
        <w:t>0</w:t>
      </w:r>
      <w:r>
        <w:rPr>
          <w:rFonts w:ascii="Palatino Linotype" w:hAnsi="Palatino Linotype"/>
          <w:b/>
          <w:sz w:val="24"/>
          <w:szCs w:val="24"/>
          <w:lang w:val="es-ES_tradnl"/>
        </w:rPr>
        <w:t>3402</w:t>
      </w:r>
      <w:r w:rsidRPr="005E7F58">
        <w:rPr>
          <w:rFonts w:ascii="Palatino Linotype" w:hAnsi="Palatino Linotype"/>
          <w:b/>
          <w:sz w:val="24"/>
          <w:szCs w:val="24"/>
          <w:lang w:val="es-ES_tradnl"/>
        </w:rPr>
        <w:t>/INFOEM/IP/RR/201</w:t>
      </w:r>
      <w:r>
        <w:rPr>
          <w:rFonts w:ascii="Palatino Linotype" w:hAnsi="Palatino Linotype"/>
          <w:b/>
          <w:sz w:val="24"/>
          <w:szCs w:val="24"/>
          <w:lang w:val="es-ES_tradnl"/>
        </w:rPr>
        <w:t>8</w:t>
      </w:r>
      <w:r w:rsidRPr="005E7F58">
        <w:rPr>
          <w:rFonts w:ascii="Palatino Linotype" w:hAnsi="Palatino Linotype"/>
          <w:b/>
          <w:sz w:val="24"/>
          <w:szCs w:val="24"/>
          <w:lang w:val="es-ES_tradnl"/>
        </w:rPr>
        <w:t xml:space="preserve"> </w:t>
      </w:r>
      <w:r>
        <w:rPr>
          <w:rFonts w:ascii="Palatino Linotype" w:hAnsi="Palatino Linotype"/>
          <w:sz w:val="24"/>
          <w:szCs w:val="24"/>
          <w:lang w:val="es-ES_tradnl"/>
        </w:rPr>
        <w:t xml:space="preserve">pronunciada </w:t>
      </w:r>
      <w:r w:rsidRPr="005E7F58">
        <w:rPr>
          <w:rFonts w:ascii="Palatino Linotype" w:hAnsi="Palatino Linotype"/>
          <w:sz w:val="24"/>
          <w:szCs w:val="24"/>
        </w:rPr>
        <w:t>por el Pleno de este Instituto an</w:t>
      </w:r>
      <w:r>
        <w:rPr>
          <w:rFonts w:ascii="Palatino Linotype" w:hAnsi="Palatino Linotype"/>
          <w:sz w:val="24"/>
          <w:szCs w:val="24"/>
        </w:rPr>
        <w:t>te el proyecto presentado por la</w:t>
      </w:r>
      <w:r w:rsidRPr="005E7F58">
        <w:rPr>
          <w:rFonts w:ascii="Palatino Linotype" w:hAnsi="Palatino Linotype"/>
          <w:sz w:val="24"/>
          <w:szCs w:val="24"/>
        </w:rPr>
        <w:t xml:space="preserve"> Comisionad</w:t>
      </w:r>
      <w:r>
        <w:rPr>
          <w:rFonts w:ascii="Palatino Linotype" w:hAnsi="Palatino Linotype"/>
          <w:sz w:val="24"/>
          <w:szCs w:val="24"/>
        </w:rPr>
        <w:t xml:space="preserve">a </w:t>
      </w:r>
      <w:r>
        <w:rPr>
          <w:rFonts w:ascii="Palatino Linotype" w:hAnsi="Palatino Linotype"/>
          <w:b/>
          <w:sz w:val="24"/>
          <w:szCs w:val="24"/>
          <w:lang w:val="es-ES_tradnl"/>
        </w:rPr>
        <w:t>Eva Abaid Yapur</w:t>
      </w:r>
      <w:r w:rsidRPr="005E7F58">
        <w:rPr>
          <w:rFonts w:ascii="Palatino Linotype" w:hAnsi="Palatino Linotype"/>
          <w:sz w:val="24"/>
          <w:szCs w:val="24"/>
        </w:rPr>
        <w:t xml:space="preserve">, que es del tenor siguiente: </w:t>
      </w:r>
    </w:p>
    <w:p w:rsidR="00D86F02" w:rsidRDefault="00D86F02" w:rsidP="00D86F02">
      <w:pPr>
        <w:tabs>
          <w:tab w:val="left" w:pos="709"/>
        </w:tabs>
        <w:spacing w:before="240" w:line="360" w:lineRule="auto"/>
        <w:ind w:right="51"/>
        <w:jc w:val="both"/>
        <w:rPr>
          <w:rFonts w:ascii="Palatino Linotype" w:hAnsi="Palatino Linotype"/>
          <w:sz w:val="24"/>
          <w:szCs w:val="24"/>
        </w:rPr>
      </w:pPr>
      <w:r w:rsidRPr="00C21974">
        <w:rPr>
          <w:rFonts w:ascii="Palatino Linotype" w:hAnsi="Palatino Linotype"/>
          <w:sz w:val="24"/>
          <w:szCs w:val="24"/>
        </w:rPr>
        <w:t xml:space="preserve">De la solicitud de información </w:t>
      </w:r>
      <w:r w:rsidR="00F8577C" w:rsidRPr="00F8577C">
        <w:rPr>
          <w:rFonts w:ascii="Palatino Linotype" w:hAnsi="Palatino Linotype"/>
          <w:b/>
          <w:bCs/>
          <w:sz w:val="24"/>
          <w:szCs w:val="24"/>
        </w:rPr>
        <w:t>00975/UPVT/IP/2018</w:t>
      </w:r>
      <w:r w:rsidRPr="00C21974">
        <w:rPr>
          <w:rFonts w:ascii="Palatino Linotype" w:hAnsi="Palatino Linotype"/>
          <w:sz w:val="24"/>
          <w:szCs w:val="24"/>
        </w:rPr>
        <w:t xml:space="preserve"> destaca que el particular </w:t>
      </w:r>
      <w:bookmarkStart w:id="0" w:name="_GoBack"/>
      <w:bookmarkEnd w:id="0"/>
      <w:r w:rsidRPr="00C21974">
        <w:rPr>
          <w:rFonts w:ascii="Palatino Linotype" w:hAnsi="Palatino Linotype"/>
          <w:sz w:val="24"/>
          <w:szCs w:val="24"/>
        </w:rPr>
        <w:t xml:space="preserve">requirió </w:t>
      </w:r>
      <w:r>
        <w:rPr>
          <w:rFonts w:ascii="Palatino Linotype" w:hAnsi="Palatino Linotype"/>
          <w:sz w:val="24"/>
          <w:szCs w:val="24"/>
        </w:rPr>
        <w:t xml:space="preserve">que la </w:t>
      </w:r>
      <w:r w:rsidR="00F8577C">
        <w:rPr>
          <w:rFonts w:ascii="Palatino Linotype" w:hAnsi="Palatino Linotype"/>
          <w:sz w:val="24"/>
          <w:szCs w:val="24"/>
        </w:rPr>
        <w:t xml:space="preserve">Universidad Politécnica del Valle de Toluca </w:t>
      </w:r>
      <w:r>
        <w:rPr>
          <w:rFonts w:ascii="Palatino Linotype" w:hAnsi="Palatino Linotype"/>
          <w:sz w:val="24"/>
          <w:szCs w:val="24"/>
        </w:rPr>
        <w:t>le proporcionara lo siguiente:</w:t>
      </w:r>
    </w:p>
    <w:p w:rsidR="00D86F02" w:rsidRDefault="00D86F02" w:rsidP="00D86F02">
      <w:pPr>
        <w:tabs>
          <w:tab w:val="left" w:pos="709"/>
        </w:tabs>
        <w:spacing w:after="0" w:line="240" w:lineRule="auto"/>
        <w:ind w:left="851" w:right="851"/>
        <w:jc w:val="both"/>
        <w:rPr>
          <w:rFonts w:ascii="Palatino Linotype" w:eastAsia="Times New Roman" w:hAnsi="Palatino Linotype" w:cs="Times New Roman"/>
          <w:i/>
          <w:sz w:val="24"/>
          <w:szCs w:val="24"/>
          <w:lang w:val="es-ES_tradnl" w:eastAsia="es-ES"/>
        </w:rPr>
      </w:pPr>
      <w:r w:rsidRPr="009C4D4A">
        <w:rPr>
          <w:rFonts w:ascii="Palatino Linotype" w:eastAsia="Times New Roman" w:hAnsi="Palatino Linotype" w:cs="Times New Roman"/>
          <w:i/>
          <w:sz w:val="24"/>
          <w:szCs w:val="24"/>
          <w:lang w:val="es-ES_tradnl" w:eastAsia="es-ES"/>
        </w:rPr>
        <w:t>“</w:t>
      </w:r>
      <w:r w:rsidR="00F8577C" w:rsidRPr="00F8577C">
        <w:rPr>
          <w:rFonts w:ascii="Palatino Linotype" w:hAnsi="Palatino Linotype"/>
          <w:i/>
          <w:color w:val="000000"/>
          <w:sz w:val="24"/>
          <w:szCs w:val="24"/>
        </w:rPr>
        <w:t xml:space="preserve">Cuotas descontadas por concepto de Sindicato al </w:t>
      </w:r>
      <w:r w:rsidR="00F8577C" w:rsidRPr="005B704E">
        <w:rPr>
          <w:rFonts w:ascii="Palatino Linotype" w:hAnsi="Palatino Linotype"/>
          <w:i/>
          <w:color w:val="000000"/>
          <w:sz w:val="24"/>
          <w:szCs w:val="24"/>
        </w:rPr>
        <w:t>Maestro Diego Gorostieta Solorzano durante el tiempo que laboro hasta su despido</w:t>
      </w:r>
      <w:r w:rsidRPr="005B704E">
        <w:rPr>
          <w:rFonts w:ascii="Palatino Linotype" w:eastAsia="Times New Roman" w:hAnsi="Palatino Linotype" w:cs="Times New Roman"/>
          <w:i/>
          <w:sz w:val="24"/>
          <w:szCs w:val="24"/>
          <w:lang w:val="es-ES_tradnl" w:eastAsia="es-ES"/>
        </w:rPr>
        <w:t>”.</w:t>
      </w:r>
    </w:p>
    <w:p w:rsidR="00D86F02" w:rsidRPr="00596A30" w:rsidRDefault="00D86F02" w:rsidP="00D86F02">
      <w:pPr>
        <w:tabs>
          <w:tab w:val="left" w:pos="709"/>
        </w:tabs>
        <w:spacing w:after="0" w:line="240" w:lineRule="auto"/>
        <w:ind w:left="851" w:right="851"/>
        <w:jc w:val="both"/>
        <w:rPr>
          <w:rFonts w:ascii="Palatino Linotype" w:hAnsi="Palatino Linotype"/>
          <w:i/>
          <w:sz w:val="24"/>
          <w:szCs w:val="24"/>
        </w:rPr>
      </w:pPr>
    </w:p>
    <w:p w:rsidR="00D86F02" w:rsidRPr="0072797F" w:rsidRDefault="00D86F02" w:rsidP="00D86F02">
      <w:pPr>
        <w:spacing w:before="120" w:after="120" w:line="360" w:lineRule="auto"/>
        <w:jc w:val="both"/>
        <w:rPr>
          <w:rFonts w:ascii="Palatino Linotype" w:hAnsi="Palatino Linotype" w:cs="Arial"/>
          <w:sz w:val="24"/>
          <w:szCs w:val="24"/>
          <w:lang w:val="es-ES"/>
        </w:rPr>
      </w:pPr>
      <w:r w:rsidRPr="0072797F">
        <w:rPr>
          <w:rFonts w:ascii="Palatino Linotype" w:hAnsi="Palatino Linotype" w:cs="Arial"/>
          <w:sz w:val="24"/>
          <w:szCs w:val="24"/>
          <w:lang w:val="es-ES"/>
        </w:rPr>
        <w:lastRenderedPageBreak/>
        <w:t>En respuesta, el Sujeto Obligado refirió mediante oficio de fecha tres de septiembre del presente año que de la convocatoria de fecha 11 de junio de 2017, referente al Concurso de Oposición para Juez en Materia Civil(Aspirantes Libres y Exigencia Legal) 15 Plazas”, ya fueron nombrados catorce aspirantes con mejor promedio, faltando por nombrar únicamente uno.</w:t>
      </w:r>
    </w:p>
    <w:p w:rsidR="00D86F02" w:rsidRDefault="00D86F02" w:rsidP="00D86F02">
      <w:pPr>
        <w:spacing w:before="120" w:line="360" w:lineRule="auto"/>
        <w:jc w:val="both"/>
        <w:rPr>
          <w:rFonts w:ascii="Palatino Linotype" w:hAnsi="Palatino Linotype" w:cs="Arial"/>
          <w:sz w:val="24"/>
          <w:szCs w:val="24"/>
          <w:lang w:val="es-ES_tradnl"/>
        </w:rPr>
      </w:pPr>
      <w:r w:rsidRPr="00B51880">
        <w:rPr>
          <w:rFonts w:ascii="Palatino Linotype" w:hAnsi="Palatino Linotype"/>
          <w:sz w:val="24"/>
          <w:szCs w:val="24"/>
        </w:rPr>
        <w:t>Inconforme</w:t>
      </w:r>
      <w:r>
        <w:rPr>
          <w:rFonts w:ascii="Palatino Linotype" w:hAnsi="Palatino Linotype"/>
          <w:sz w:val="24"/>
          <w:szCs w:val="24"/>
        </w:rPr>
        <w:t xml:space="preserve"> con la respuesta</w:t>
      </w:r>
      <w:r w:rsidRPr="00B51880">
        <w:rPr>
          <w:rFonts w:ascii="Palatino Linotype" w:hAnsi="Palatino Linotype" w:cs="Arial"/>
          <w:sz w:val="24"/>
          <w:szCs w:val="24"/>
          <w:lang w:val="es-ES_tradnl"/>
        </w:rPr>
        <w:t>,</w:t>
      </w:r>
      <w:r>
        <w:rPr>
          <w:rFonts w:ascii="Palatino Linotype" w:hAnsi="Palatino Linotype" w:cs="Arial"/>
          <w:sz w:val="24"/>
          <w:szCs w:val="24"/>
          <w:lang w:val="es-ES_tradnl"/>
        </w:rPr>
        <w:t xml:space="preserve"> el </w:t>
      </w:r>
      <w:r>
        <w:rPr>
          <w:rFonts w:ascii="Palatino Linotype" w:hAnsi="Palatino Linotype" w:cs="Arial"/>
          <w:color w:val="000000"/>
          <w:sz w:val="24"/>
          <w:szCs w:val="24"/>
          <w:lang w:eastAsia="es-MX"/>
        </w:rPr>
        <w:t>R</w:t>
      </w:r>
      <w:r w:rsidRPr="00B51880">
        <w:rPr>
          <w:rFonts w:ascii="Palatino Linotype" w:hAnsi="Palatino Linotype" w:cs="Arial"/>
          <w:color w:val="000000"/>
          <w:sz w:val="24"/>
          <w:szCs w:val="24"/>
          <w:lang w:eastAsia="es-MX"/>
        </w:rPr>
        <w:t>ecurrente</w:t>
      </w:r>
      <w:r w:rsidRPr="00B51880">
        <w:rPr>
          <w:rFonts w:ascii="Palatino Linotype" w:hAnsi="Palatino Linotype" w:cs="Arial"/>
          <w:sz w:val="24"/>
          <w:szCs w:val="24"/>
          <w:lang w:val="es-ES_tradnl"/>
        </w:rPr>
        <w:t xml:space="preserve"> int</w:t>
      </w:r>
      <w:r>
        <w:rPr>
          <w:rFonts w:ascii="Palatino Linotype" w:hAnsi="Palatino Linotype" w:cs="Arial"/>
          <w:sz w:val="24"/>
          <w:szCs w:val="24"/>
          <w:lang w:val="es-ES_tradnl"/>
        </w:rPr>
        <w:t xml:space="preserve">erpuso el medio de impugnación </w:t>
      </w:r>
      <w:r w:rsidRPr="00B51880">
        <w:rPr>
          <w:rFonts w:ascii="Palatino Linotype" w:hAnsi="Palatino Linotype" w:cs="Arial"/>
          <w:sz w:val="24"/>
          <w:szCs w:val="24"/>
          <w:lang w:val="es-ES_tradnl"/>
        </w:rPr>
        <w:t xml:space="preserve">materia de análisis, en </w:t>
      </w:r>
      <w:r>
        <w:rPr>
          <w:rFonts w:ascii="Palatino Linotype" w:hAnsi="Palatino Linotype" w:cs="Arial"/>
          <w:sz w:val="24"/>
          <w:szCs w:val="24"/>
          <w:lang w:val="es-ES_tradnl"/>
        </w:rPr>
        <w:t xml:space="preserve">el </w:t>
      </w:r>
      <w:r w:rsidRPr="00B51880">
        <w:rPr>
          <w:rFonts w:ascii="Palatino Linotype" w:hAnsi="Palatino Linotype" w:cs="Arial"/>
          <w:sz w:val="24"/>
          <w:szCs w:val="24"/>
          <w:lang w:val="es-ES_tradnl"/>
        </w:rPr>
        <w:t xml:space="preserve">que precisó </w:t>
      </w:r>
      <w:r>
        <w:rPr>
          <w:rFonts w:ascii="Palatino Linotype" w:hAnsi="Palatino Linotype" w:cs="Arial"/>
          <w:sz w:val="24"/>
          <w:szCs w:val="24"/>
          <w:lang w:val="es-ES_tradnl"/>
        </w:rPr>
        <w:t xml:space="preserve">como </w:t>
      </w:r>
      <w:r w:rsidRPr="00C21974">
        <w:rPr>
          <w:rFonts w:ascii="Palatino Linotype" w:hAnsi="Palatino Linotype" w:cs="Arial"/>
          <w:b/>
          <w:sz w:val="24"/>
          <w:szCs w:val="24"/>
          <w:lang w:val="es-ES_tradnl"/>
        </w:rPr>
        <w:t>acto impugnado</w:t>
      </w:r>
      <w:r>
        <w:rPr>
          <w:rFonts w:ascii="Palatino Linotype" w:hAnsi="Palatino Linotype" w:cs="Arial"/>
          <w:b/>
          <w:sz w:val="24"/>
          <w:szCs w:val="24"/>
          <w:lang w:val="es-ES_tradnl"/>
        </w:rPr>
        <w:t xml:space="preserve"> </w:t>
      </w:r>
      <w:r w:rsidRPr="009C4D4A">
        <w:rPr>
          <w:rFonts w:ascii="Palatino Linotype" w:hAnsi="Palatino Linotype" w:cs="Arial"/>
          <w:i/>
          <w:sz w:val="24"/>
          <w:szCs w:val="24"/>
          <w:lang w:val="es-ES_tradnl"/>
        </w:rPr>
        <w:t>“</w:t>
      </w:r>
      <w:r w:rsidR="00F8577C" w:rsidRPr="00F8577C">
        <w:rPr>
          <w:rFonts w:ascii="Palatino Linotype" w:hAnsi="Palatino Linotype" w:cs="Arial"/>
          <w:i/>
          <w:sz w:val="24"/>
          <w:szCs w:val="24"/>
        </w:rPr>
        <w:t xml:space="preserve">Se niegan a entregar la </w:t>
      </w:r>
      <w:r w:rsidR="00F8577C" w:rsidRPr="002413B4">
        <w:rPr>
          <w:rFonts w:ascii="Palatino Linotype" w:hAnsi="Palatino Linotype" w:cs="Arial"/>
          <w:i/>
          <w:sz w:val="24"/>
          <w:szCs w:val="24"/>
        </w:rPr>
        <w:t>información</w:t>
      </w:r>
      <w:r w:rsidRPr="002413B4">
        <w:rPr>
          <w:rFonts w:ascii="Palatino Linotype" w:hAnsi="Palatino Linotype" w:cs="Arial"/>
          <w:i/>
          <w:sz w:val="24"/>
          <w:szCs w:val="24"/>
          <w:lang w:val="es-ES_tradnl"/>
        </w:rPr>
        <w:t>”</w:t>
      </w:r>
      <w:r w:rsidRPr="002413B4">
        <w:rPr>
          <w:rFonts w:ascii="Palatino Linotype" w:hAnsi="Palatino Linotype" w:cs="Arial"/>
          <w:sz w:val="24"/>
          <w:szCs w:val="24"/>
          <w:lang w:val="es-ES_tradnl"/>
        </w:rPr>
        <w:t xml:space="preserve"> y como </w:t>
      </w:r>
      <w:r w:rsidRPr="002413B4">
        <w:rPr>
          <w:rFonts w:ascii="Palatino Linotype" w:hAnsi="Palatino Linotype" w:cs="Arial"/>
          <w:b/>
          <w:sz w:val="24"/>
          <w:szCs w:val="24"/>
          <w:lang w:val="es-ES_tradnl"/>
        </w:rPr>
        <w:t>motivos de inconformidad</w:t>
      </w:r>
      <w:r w:rsidRPr="002413B4">
        <w:rPr>
          <w:rFonts w:ascii="Palatino Linotype" w:hAnsi="Palatino Linotype" w:cs="Arial"/>
          <w:sz w:val="24"/>
          <w:szCs w:val="24"/>
          <w:lang w:val="es-ES_tradnl"/>
        </w:rPr>
        <w:t xml:space="preserve"> arguyó que </w:t>
      </w:r>
      <w:r w:rsidRPr="002413B4">
        <w:rPr>
          <w:rFonts w:ascii="Palatino Linotype" w:hAnsi="Palatino Linotype" w:cs="Arial"/>
          <w:i/>
          <w:sz w:val="24"/>
          <w:szCs w:val="24"/>
          <w:lang w:val="es-ES_tradnl"/>
        </w:rPr>
        <w:t>“</w:t>
      </w:r>
      <w:r w:rsidR="00F8577C" w:rsidRPr="002413B4">
        <w:rPr>
          <w:rFonts w:ascii="Palatino Linotype" w:hAnsi="Palatino Linotype" w:cs="Arial"/>
          <w:i/>
          <w:sz w:val="24"/>
          <w:szCs w:val="24"/>
        </w:rPr>
        <w:t>Por principio de cuentas C. Manzano, es Maestro Diego Gorostieta de</w:t>
      </w:r>
      <w:r w:rsidR="00F8577C" w:rsidRPr="00F8577C">
        <w:rPr>
          <w:rFonts w:ascii="Palatino Linotype" w:hAnsi="Palatino Linotype" w:cs="Arial"/>
          <w:i/>
          <w:sz w:val="24"/>
          <w:szCs w:val="24"/>
        </w:rPr>
        <w:t xml:space="preserve"> quien se le pide información. no ciudadano, ya que el profesionista en mención, si cuenta con cedula </w:t>
      </w:r>
      <w:r w:rsidR="00F8577C" w:rsidRPr="002413B4">
        <w:rPr>
          <w:rFonts w:ascii="Palatino Linotype" w:hAnsi="Palatino Linotype" w:cs="Arial"/>
          <w:i/>
          <w:sz w:val="24"/>
          <w:szCs w:val="24"/>
        </w:rPr>
        <w:t xml:space="preserve">profesional, </w:t>
      </w:r>
      <w:r w:rsidR="002413B4">
        <w:rPr>
          <w:rFonts w:ascii="Palatino Linotype" w:hAnsi="Palatino Linotype" w:cs="Arial"/>
          <w:i/>
          <w:sz w:val="24"/>
          <w:szCs w:val="24"/>
        </w:rPr>
        <w:t>XXXXXXXXXXXXXXXXXXXX</w:t>
      </w:r>
      <w:r w:rsidR="00F8577C" w:rsidRPr="002413B4">
        <w:rPr>
          <w:rFonts w:ascii="Palatino Linotype" w:hAnsi="Palatino Linotype" w:cs="Arial"/>
          <w:i/>
          <w:sz w:val="24"/>
          <w:szCs w:val="24"/>
        </w:rPr>
        <w:t xml:space="preserve"> primero</w:t>
      </w:r>
      <w:r w:rsidR="00F8577C" w:rsidRPr="00F8577C">
        <w:rPr>
          <w:rFonts w:ascii="Palatino Linotype" w:hAnsi="Palatino Linotype" w:cs="Arial"/>
          <w:i/>
          <w:sz w:val="24"/>
          <w:szCs w:val="24"/>
        </w:rPr>
        <w:t xml:space="preserve">. Segundo, las cuotas de sindicato usted se contradice primero dice que las posee pero que no las puede proporcionar y después que no están en su área, evidentemente no sabe nada de derecho, no se preocupe </w:t>
      </w:r>
      <w:r w:rsidR="002413B4">
        <w:rPr>
          <w:rFonts w:ascii="Palatino Linotype" w:hAnsi="Palatino Linotype" w:cs="Arial"/>
          <w:i/>
          <w:sz w:val="24"/>
          <w:szCs w:val="24"/>
        </w:rPr>
        <w:t>XXXXXXXXXXX</w:t>
      </w:r>
      <w:r w:rsidR="00F8577C" w:rsidRPr="00F8577C">
        <w:rPr>
          <w:rFonts w:ascii="Palatino Linotype" w:hAnsi="Palatino Linotype" w:cs="Arial"/>
          <w:i/>
          <w:sz w:val="24"/>
          <w:szCs w:val="24"/>
        </w:rPr>
        <w:t xml:space="preserve"> le apoyamos para que evite declarar falsamente en lo referente a este tipo de solicitudes. Por otro lado, </w:t>
      </w:r>
      <w:r w:rsidR="00F8577C" w:rsidRPr="002413B4">
        <w:rPr>
          <w:rFonts w:ascii="Palatino Linotype" w:hAnsi="Palatino Linotype" w:cs="Arial"/>
          <w:i/>
          <w:sz w:val="24"/>
          <w:szCs w:val="24"/>
        </w:rPr>
        <w:t xml:space="preserve">entregue lo que se le pide inmediatamente, </w:t>
      </w:r>
      <w:r w:rsidR="002413B4" w:rsidRPr="002413B4">
        <w:rPr>
          <w:rFonts w:ascii="Palatino Linotype" w:hAnsi="Palatino Linotype" w:cs="Arial"/>
          <w:i/>
          <w:sz w:val="24"/>
          <w:szCs w:val="24"/>
        </w:rPr>
        <w:t>XXXXXXXXXXX</w:t>
      </w:r>
      <w:r w:rsidR="00F8577C" w:rsidRPr="002413B4">
        <w:rPr>
          <w:rFonts w:ascii="Palatino Linotype" w:hAnsi="Palatino Linotype" w:cs="Arial"/>
          <w:i/>
          <w:sz w:val="24"/>
          <w:szCs w:val="24"/>
        </w:rPr>
        <w:t xml:space="preserve"> y prepotencia, de ser el caso; si tiene dudas en materia de derecho e</w:t>
      </w:r>
      <w:r w:rsidR="00F8577C" w:rsidRPr="00F8577C">
        <w:rPr>
          <w:rFonts w:ascii="Palatino Linotype" w:hAnsi="Palatino Linotype" w:cs="Arial"/>
          <w:i/>
          <w:sz w:val="24"/>
          <w:szCs w:val="24"/>
        </w:rPr>
        <w:t xml:space="preserve">l Candidato a Doctor en </w:t>
      </w:r>
      <w:r w:rsidR="00F8577C" w:rsidRPr="002413B4">
        <w:rPr>
          <w:rFonts w:ascii="Palatino Linotype" w:hAnsi="Palatino Linotype" w:cs="Arial"/>
          <w:i/>
          <w:sz w:val="24"/>
          <w:szCs w:val="24"/>
        </w:rPr>
        <w:t>Derecho Diego Gorostieta le puede apoyar y gratis, porque el derecho de acceso a la informaci</w:t>
      </w:r>
      <w:r w:rsidR="00F8577C" w:rsidRPr="00F8577C">
        <w:rPr>
          <w:rFonts w:ascii="Palatino Linotype" w:hAnsi="Palatino Linotype" w:cs="Arial"/>
          <w:i/>
          <w:sz w:val="24"/>
          <w:szCs w:val="24"/>
        </w:rPr>
        <w:t>ón, ES GRATUITO Y NO CONDICIONADO, bajo los argumentos que refiere. Son recursos de orden público, que se entregaron en beneficio a la institución ya que nunca formaron parte del bolsillo del trabajador que ustedes despidieron</w:t>
      </w:r>
      <w:r w:rsidRPr="009C4D4A">
        <w:rPr>
          <w:rFonts w:ascii="Palatino Linotype" w:hAnsi="Palatino Linotype" w:cs="Arial"/>
          <w:i/>
          <w:sz w:val="24"/>
          <w:szCs w:val="24"/>
          <w:lang w:val="es-ES_tradnl"/>
        </w:rPr>
        <w:t>”</w:t>
      </w:r>
      <w:r>
        <w:rPr>
          <w:rFonts w:ascii="Palatino Linotype" w:hAnsi="Palatino Linotype" w:cs="Arial"/>
          <w:sz w:val="24"/>
          <w:szCs w:val="24"/>
          <w:lang w:val="es-ES_tradnl"/>
        </w:rPr>
        <w:t>.</w:t>
      </w:r>
    </w:p>
    <w:p w:rsidR="00D86F02" w:rsidRPr="007913E6" w:rsidRDefault="00D86F02" w:rsidP="00D86F02">
      <w:pPr>
        <w:spacing w:before="120" w:line="360" w:lineRule="auto"/>
        <w:jc w:val="both"/>
        <w:rPr>
          <w:rFonts w:ascii="Palatino Linotype" w:hAnsi="Palatino Linotype" w:cs="Arial"/>
          <w:sz w:val="24"/>
          <w:szCs w:val="24"/>
          <w:lang w:val="es-ES_tradnl"/>
        </w:rPr>
      </w:pPr>
      <w:r>
        <w:rPr>
          <w:rFonts w:ascii="Palatino Linotype" w:hAnsi="Palatino Linotype" w:cs="Arial"/>
          <w:sz w:val="24"/>
          <w:szCs w:val="24"/>
          <w:lang w:val="es-ES_tradnl"/>
        </w:rPr>
        <w:lastRenderedPageBreak/>
        <w:t xml:space="preserve">En este sentido es de suma importancia mencionar que el </w:t>
      </w:r>
      <w:r w:rsidR="00F8577C" w:rsidRPr="00F8577C">
        <w:rPr>
          <w:rFonts w:ascii="Palatino Linotype" w:hAnsi="Palatino Linotype" w:cs="Arial"/>
          <w:sz w:val="24"/>
          <w:szCs w:val="24"/>
        </w:rPr>
        <w:t xml:space="preserve">veintiocho de septiembre de dos mil dieciocho rindió su Informe Justificado correspondiente adjuntando los archivos electrónicos </w:t>
      </w:r>
      <w:r w:rsidR="00F8577C" w:rsidRPr="00F8577C">
        <w:rPr>
          <w:rFonts w:ascii="Palatino Linotype" w:hAnsi="Palatino Linotype" w:cs="Arial"/>
          <w:sz w:val="24"/>
          <w:szCs w:val="24"/>
        </w:rPr>
        <w:tab/>
        <w:t xml:space="preserve">Informe Justificado </w:t>
      </w:r>
      <w:r w:rsidR="00F8577C" w:rsidRPr="00F8577C">
        <w:rPr>
          <w:rFonts w:ascii="Palatino Linotype" w:hAnsi="Palatino Linotype" w:cs="Arial"/>
          <w:b/>
          <w:sz w:val="24"/>
          <w:szCs w:val="24"/>
        </w:rPr>
        <w:t xml:space="preserve">RR03400 y 03401.pdf </w:t>
      </w:r>
      <w:r w:rsidR="00F8577C" w:rsidRPr="00F8577C">
        <w:rPr>
          <w:rFonts w:ascii="Palatino Linotype" w:hAnsi="Palatino Linotype" w:cs="Arial"/>
          <w:sz w:val="24"/>
          <w:szCs w:val="24"/>
        </w:rPr>
        <w:t xml:space="preserve">y </w:t>
      </w:r>
      <w:r w:rsidR="00F8577C" w:rsidRPr="00F8577C">
        <w:rPr>
          <w:rFonts w:ascii="Palatino Linotype" w:hAnsi="Palatino Linotype" w:cs="Arial"/>
          <w:b/>
          <w:sz w:val="24"/>
          <w:szCs w:val="24"/>
        </w:rPr>
        <w:t>INFORME JUSTIFICADO RR03402.pdf</w:t>
      </w:r>
      <w:r w:rsidR="00F8577C" w:rsidRPr="00F8577C">
        <w:rPr>
          <w:rFonts w:ascii="Palatino Linotype" w:hAnsi="Palatino Linotype" w:cs="Arial"/>
          <w:sz w:val="24"/>
          <w:szCs w:val="24"/>
        </w:rPr>
        <w:t xml:space="preserve"> mismos que no fueron puestos a disposición de </w:t>
      </w:r>
      <w:r w:rsidR="00F8577C" w:rsidRPr="00F8577C">
        <w:rPr>
          <w:rFonts w:ascii="Palatino Linotype" w:hAnsi="Palatino Linotype" w:cs="Arial"/>
          <w:b/>
          <w:sz w:val="24"/>
          <w:szCs w:val="24"/>
        </w:rPr>
        <w:t>LA</w:t>
      </w:r>
      <w:r w:rsidR="00F8577C" w:rsidRPr="00F8577C">
        <w:rPr>
          <w:rFonts w:ascii="Palatino Linotype" w:hAnsi="Palatino Linotype" w:cs="Arial"/>
          <w:sz w:val="24"/>
          <w:szCs w:val="24"/>
        </w:rPr>
        <w:t xml:space="preserve"> </w:t>
      </w:r>
      <w:r w:rsidR="00F8577C" w:rsidRPr="00F8577C">
        <w:rPr>
          <w:rFonts w:ascii="Palatino Linotype" w:hAnsi="Palatino Linotype" w:cs="Arial"/>
          <w:b/>
          <w:sz w:val="24"/>
          <w:szCs w:val="24"/>
        </w:rPr>
        <w:t>RECURRENTE</w:t>
      </w:r>
      <w:r w:rsidR="00F8577C" w:rsidRPr="00F8577C">
        <w:rPr>
          <w:rFonts w:ascii="Palatino Linotype" w:hAnsi="Palatino Linotype" w:cs="Arial"/>
          <w:sz w:val="24"/>
          <w:szCs w:val="24"/>
        </w:rPr>
        <w:t xml:space="preserve"> en razón de que, </w:t>
      </w:r>
      <w:r w:rsidR="00F8577C" w:rsidRPr="00F8577C">
        <w:rPr>
          <w:rFonts w:ascii="Palatino Linotype" w:hAnsi="Palatino Linotype" w:cs="Arial"/>
          <w:b/>
          <w:sz w:val="24"/>
          <w:szCs w:val="24"/>
        </w:rPr>
        <w:t>EL SUJETO OBLIGADO</w:t>
      </w:r>
      <w:r w:rsidR="00F8577C" w:rsidRPr="00F8577C">
        <w:rPr>
          <w:rFonts w:ascii="Palatino Linotype" w:hAnsi="Palatino Linotype" w:cs="Arial"/>
          <w:sz w:val="24"/>
          <w:szCs w:val="24"/>
        </w:rPr>
        <w:t xml:space="preserve"> no modificó el sentido de su respuesta y en consecuencia, no se actualiza el supuesto jurídico de la fracción III del artículo 185 de la Ley de Transparencia y Acceso a la Información Pública del Estado de México y Municipios</w:t>
      </w:r>
      <w:r w:rsidRPr="007913E6">
        <w:rPr>
          <w:rFonts w:ascii="Palatino Linotype" w:hAnsi="Palatino Linotype" w:cs="Arial"/>
          <w:sz w:val="24"/>
          <w:szCs w:val="24"/>
          <w:lang w:val="es-ES_tradnl"/>
        </w:rPr>
        <w:t>.</w:t>
      </w:r>
    </w:p>
    <w:p w:rsidR="00D86F02" w:rsidRPr="007913E6" w:rsidRDefault="00D86F02" w:rsidP="00D86F02">
      <w:pPr>
        <w:spacing w:after="0" w:line="360" w:lineRule="auto"/>
        <w:jc w:val="both"/>
        <w:rPr>
          <w:rFonts w:ascii="Palatino Linotype" w:hAnsi="Palatino Linotype"/>
          <w:sz w:val="24"/>
          <w:szCs w:val="24"/>
        </w:rPr>
      </w:pPr>
      <w:r w:rsidRPr="007913E6">
        <w:rPr>
          <w:rFonts w:ascii="Palatino Linotype" w:hAnsi="Palatino Linotype" w:cs="Arial"/>
          <w:sz w:val="24"/>
          <w:szCs w:val="24"/>
          <w:lang w:val="es-ES_tradnl"/>
        </w:rPr>
        <w:t xml:space="preserve">Por lo que una vez sustanciado el medio de impugnación al rubro indicado, la Ponencia </w:t>
      </w:r>
      <w:r w:rsidRPr="007913E6">
        <w:rPr>
          <w:rFonts w:ascii="Palatino Linotype" w:hAnsi="Palatino Linotype"/>
          <w:sz w:val="24"/>
          <w:szCs w:val="24"/>
        </w:rPr>
        <w:t>determinó lo siguiente:</w:t>
      </w:r>
    </w:p>
    <w:p w:rsidR="00D86F02" w:rsidRPr="007913E6" w:rsidRDefault="00D86F02" w:rsidP="00D86F02">
      <w:pPr>
        <w:spacing w:after="0" w:line="360" w:lineRule="auto"/>
        <w:ind w:left="851" w:right="851"/>
        <w:jc w:val="both"/>
        <w:rPr>
          <w:rFonts w:ascii="Palatino Linotype" w:eastAsia="Times New Roman" w:hAnsi="Palatino Linotype" w:cs="Arial"/>
          <w:b/>
          <w:lang w:val="es-ES_tradnl" w:eastAsia="es-ES"/>
        </w:rPr>
      </w:pPr>
    </w:p>
    <w:p w:rsidR="00F8577C" w:rsidRDefault="00D86F02" w:rsidP="00F8577C">
      <w:pPr>
        <w:spacing w:after="0" w:line="360" w:lineRule="auto"/>
        <w:ind w:left="851" w:right="851"/>
        <w:jc w:val="both"/>
        <w:rPr>
          <w:rFonts w:ascii="Palatino Linotype" w:hAnsi="Palatino Linotype"/>
          <w:b/>
          <w:bCs/>
          <w:i/>
        </w:rPr>
      </w:pPr>
      <w:r w:rsidRPr="007913E6">
        <w:rPr>
          <w:rFonts w:ascii="Palatino Linotype" w:eastAsia="Times New Roman" w:hAnsi="Palatino Linotype" w:cs="Arial"/>
          <w:b/>
          <w:lang w:val="es-ES_tradnl" w:eastAsia="es-ES"/>
        </w:rPr>
        <w:t>“</w:t>
      </w:r>
      <w:r w:rsidRPr="007913E6">
        <w:rPr>
          <w:rFonts w:ascii="Palatino Linotype" w:hAnsi="Palatino Linotype"/>
          <w:b/>
          <w:bCs/>
          <w:i/>
        </w:rPr>
        <w:t>…</w:t>
      </w:r>
    </w:p>
    <w:p w:rsidR="00F8577C" w:rsidRDefault="00D86F02" w:rsidP="00F8577C">
      <w:pPr>
        <w:spacing w:after="0" w:line="240" w:lineRule="auto"/>
        <w:ind w:left="851" w:right="851"/>
        <w:jc w:val="both"/>
        <w:rPr>
          <w:rFonts w:ascii="Palatino Linotype" w:hAnsi="Palatino Linotype"/>
          <w:b/>
          <w:bCs/>
          <w:i/>
        </w:rPr>
      </w:pPr>
      <w:r w:rsidRPr="002669F2">
        <w:rPr>
          <w:rFonts w:ascii="Palatino Linotype" w:hAnsi="Palatino Linotype"/>
          <w:b/>
          <w:bCs/>
          <w:i/>
          <w:lang w:val="es-ES"/>
        </w:rPr>
        <w:t>PRIMERO</w:t>
      </w:r>
      <w:r w:rsidRPr="002669F2">
        <w:rPr>
          <w:rFonts w:ascii="Palatino Linotype" w:hAnsi="Palatino Linotype"/>
          <w:i/>
          <w:lang w:val="es-ES"/>
        </w:rPr>
        <w:t xml:space="preserve">. </w:t>
      </w:r>
      <w:r w:rsidR="00F8577C" w:rsidRPr="00F8577C">
        <w:rPr>
          <w:rFonts w:ascii="Palatino Linotype" w:hAnsi="Palatino Linotype"/>
          <w:i/>
        </w:rPr>
        <w:t xml:space="preserve">Resultan </w:t>
      </w:r>
      <w:r w:rsidR="00F8577C" w:rsidRPr="00F8577C">
        <w:rPr>
          <w:rFonts w:ascii="Palatino Linotype" w:hAnsi="Palatino Linotype"/>
          <w:b/>
          <w:i/>
        </w:rPr>
        <w:t>parcialmente fundadas</w:t>
      </w:r>
      <w:r w:rsidR="00F8577C" w:rsidRPr="00F8577C">
        <w:rPr>
          <w:rFonts w:ascii="Palatino Linotype" w:hAnsi="Palatino Linotype"/>
          <w:i/>
        </w:rPr>
        <w:t xml:space="preserve"> las razones o motivos de inconformidad planteadas por </w:t>
      </w:r>
      <w:r w:rsidR="00F8577C" w:rsidRPr="00F8577C">
        <w:rPr>
          <w:rFonts w:ascii="Palatino Linotype" w:hAnsi="Palatino Linotype"/>
          <w:b/>
          <w:i/>
        </w:rPr>
        <w:t>LA RECURRENTE</w:t>
      </w:r>
      <w:r w:rsidR="00F8577C" w:rsidRPr="00F8577C">
        <w:rPr>
          <w:rFonts w:ascii="Palatino Linotype" w:hAnsi="Palatino Linotype"/>
          <w:i/>
        </w:rPr>
        <w:t xml:space="preserve"> y analizadas en el Considerando </w:t>
      </w:r>
      <w:r w:rsidR="00F8577C" w:rsidRPr="00F8577C">
        <w:rPr>
          <w:rFonts w:ascii="Palatino Linotype" w:hAnsi="Palatino Linotype"/>
          <w:b/>
          <w:i/>
        </w:rPr>
        <w:t>QUINTO</w:t>
      </w:r>
      <w:r w:rsidR="00F8577C" w:rsidRPr="00F8577C">
        <w:rPr>
          <w:rFonts w:ascii="Palatino Linotype" w:hAnsi="Palatino Linotype"/>
          <w:i/>
        </w:rPr>
        <w:t xml:space="preserve"> de esta resolución.</w:t>
      </w:r>
    </w:p>
    <w:p w:rsidR="00F8577C" w:rsidRDefault="00F8577C" w:rsidP="00F8577C">
      <w:pPr>
        <w:spacing w:after="0" w:line="240" w:lineRule="auto"/>
        <w:ind w:left="851" w:right="851"/>
        <w:jc w:val="both"/>
        <w:rPr>
          <w:rFonts w:ascii="Palatino Linotype" w:hAnsi="Palatino Linotype"/>
          <w:b/>
          <w:bCs/>
          <w:i/>
          <w:lang w:val="es-ES"/>
        </w:rPr>
      </w:pPr>
    </w:p>
    <w:p w:rsidR="00F8577C" w:rsidRPr="00F8577C" w:rsidRDefault="00D86F02" w:rsidP="00F8577C">
      <w:pPr>
        <w:spacing w:after="0" w:line="240" w:lineRule="auto"/>
        <w:ind w:left="851" w:right="851"/>
        <w:jc w:val="both"/>
        <w:rPr>
          <w:rFonts w:ascii="Palatino Linotype" w:hAnsi="Palatino Linotype"/>
          <w:b/>
          <w:bCs/>
          <w:i/>
        </w:rPr>
      </w:pPr>
      <w:r w:rsidRPr="002669F2">
        <w:rPr>
          <w:rFonts w:ascii="Palatino Linotype" w:hAnsi="Palatino Linotype"/>
          <w:b/>
          <w:bCs/>
          <w:i/>
          <w:lang w:val="es-ES"/>
        </w:rPr>
        <w:t xml:space="preserve">SEGUNDO. </w:t>
      </w:r>
      <w:r w:rsidR="00F8577C" w:rsidRPr="00F8577C">
        <w:rPr>
          <w:rFonts w:ascii="Palatino Linotype" w:hAnsi="Palatino Linotype"/>
          <w:bCs/>
          <w:i/>
        </w:rPr>
        <w:t>Se</w:t>
      </w:r>
      <w:r w:rsidR="00F8577C" w:rsidRPr="00F8577C">
        <w:rPr>
          <w:rFonts w:ascii="Palatino Linotype" w:hAnsi="Palatino Linotype"/>
          <w:b/>
          <w:bCs/>
          <w:i/>
        </w:rPr>
        <w:t xml:space="preserve"> REVOCA </w:t>
      </w:r>
      <w:r w:rsidR="00F8577C" w:rsidRPr="00F8577C">
        <w:rPr>
          <w:rFonts w:ascii="Palatino Linotype" w:hAnsi="Palatino Linotype"/>
          <w:bCs/>
          <w:i/>
        </w:rPr>
        <w:t xml:space="preserve">la respuesta del </w:t>
      </w:r>
      <w:r w:rsidR="00F8577C" w:rsidRPr="00F8577C">
        <w:rPr>
          <w:rFonts w:ascii="Palatino Linotype" w:hAnsi="Palatino Linotype"/>
          <w:b/>
          <w:bCs/>
          <w:i/>
        </w:rPr>
        <w:t>SUJETO OBLIGADO</w:t>
      </w:r>
      <w:r w:rsidR="00F8577C" w:rsidRPr="00F8577C">
        <w:rPr>
          <w:rFonts w:ascii="Palatino Linotype" w:hAnsi="Palatino Linotype"/>
          <w:bCs/>
          <w:i/>
        </w:rPr>
        <w:t xml:space="preserve">, y se </w:t>
      </w:r>
      <w:r w:rsidR="00F8577C" w:rsidRPr="00F8577C">
        <w:rPr>
          <w:rFonts w:ascii="Palatino Linotype" w:hAnsi="Palatino Linotype"/>
          <w:b/>
          <w:bCs/>
          <w:i/>
        </w:rPr>
        <w:t>ordena</w:t>
      </w:r>
      <w:r w:rsidR="00F8577C" w:rsidRPr="00F8577C">
        <w:rPr>
          <w:rFonts w:ascii="Palatino Linotype" w:hAnsi="Palatino Linotype"/>
          <w:bCs/>
          <w:i/>
        </w:rPr>
        <w:t xml:space="preserve"> atienda la solicitud de información pública </w:t>
      </w:r>
      <w:r w:rsidR="00F8577C" w:rsidRPr="00F8577C">
        <w:rPr>
          <w:rFonts w:ascii="Palatino Linotype" w:hAnsi="Palatino Linotype"/>
          <w:b/>
          <w:bCs/>
          <w:i/>
        </w:rPr>
        <w:t>00975/UPVT/IP/2018</w:t>
      </w:r>
      <w:r w:rsidR="00F8577C" w:rsidRPr="00F8577C">
        <w:rPr>
          <w:rFonts w:ascii="Palatino Linotype" w:hAnsi="Palatino Linotype"/>
          <w:bCs/>
          <w:i/>
        </w:rPr>
        <w:t xml:space="preserve">, en términos del Considerando </w:t>
      </w:r>
      <w:r w:rsidR="00F8577C" w:rsidRPr="00F8577C">
        <w:rPr>
          <w:rFonts w:ascii="Palatino Linotype" w:hAnsi="Palatino Linotype"/>
          <w:b/>
          <w:bCs/>
          <w:i/>
        </w:rPr>
        <w:t xml:space="preserve">QUINTO </w:t>
      </w:r>
      <w:r w:rsidR="00F8577C" w:rsidRPr="00F8577C">
        <w:rPr>
          <w:rFonts w:ascii="Palatino Linotype" w:hAnsi="Palatino Linotype"/>
          <w:bCs/>
          <w:i/>
        </w:rPr>
        <w:t xml:space="preserve">de la presente resolución y, haga entrega a </w:t>
      </w:r>
      <w:r w:rsidR="00F8577C" w:rsidRPr="00F8577C">
        <w:rPr>
          <w:rFonts w:ascii="Palatino Linotype" w:hAnsi="Palatino Linotype"/>
          <w:b/>
          <w:bCs/>
          <w:i/>
        </w:rPr>
        <w:t>LA RECURRENTE</w:t>
      </w:r>
      <w:r w:rsidR="00F8577C" w:rsidRPr="00F8577C">
        <w:rPr>
          <w:rFonts w:ascii="Palatino Linotype" w:hAnsi="Palatino Linotype"/>
          <w:bCs/>
          <w:i/>
        </w:rPr>
        <w:t>, vía el</w:t>
      </w:r>
      <w:r w:rsidR="00F8577C" w:rsidRPr="00F8577C">
        <w:rPr>
          <w:rFonts w:ascii="Palatino Linotype" w:hAnsi="Palatino Linotype"/>
          <w:b/>
          <w:bCs/>
          <w:i/>
        </w:rPr>
        <w:t xml:space="preserve"> SAIMEX</w:t>
      </w:r>
      <w:r w:rsidR="00F8577C" w:rsidRPr="00F8577C">
        <w:rPr>
          <w:rFonts w:ascii="Palatino Linotype" w:hAnsi="Palatino Linotype"/>
          <w:bCs/>
          <w:i/>
        </w:rPr>
        <w:t>, lo siguiente:</w:t>
      </w:r>
    </w:p>
    <w:p w:rsidR="00F8577C" w:rsidRPr="00F8577C" w:rsidRDefault="00F8577C" w:rsidP="00F8577C">
      <w:pPr>
        <w:spacing w:after="0" w:line="240" w:lineRule="auto"/>
        <w:ind w:left="851" w:right="851"/>
        <w:jc w:val="both"/>
        <w:rPr>
          <w:rFonts w:ascii="Palatino Linotype" w:hAnsi="Palatino Linotype"/>
          <w:b/>
          <w:bCs/>
          <w:i/>
        </w:rPr>
      </w:pPr>
    </w:p>
    <w:p w:rsidR="00F8577C" w:rsidRPr="00F8577C" w:rsidRDefault="00F8577C" w:rsidP="00F8577C">
      <w:pPr>
        <w:spacing w:after="0" w:line="240" w:lineRule="auto"/>
        <w:ind w:left="851" w:right="851"/>
        <w:jc w:val="both"/>
        <w:rPr>
          <w:rFonts w:ascii="Palatino Linotype" w:hAnsi="Palatino Linotype"/>
          <w:bCs/>
          <w:i/>
        </w:rPr>
      </w:pPr>
      <w:r w:rsidRPr="00F8577C">
        <w:rPr>
          <w:rFonts w:ascii="Palatino Linotype" w:hAnsi="Palatino Linotype"/>
          <w:bCs/>
          <w:i/>
        </w:rPr>
        <w:t>“</w:t>
      </w:r>
      <w:r w:rsidRPr="00F8577C">
        <w:rPr>
          <w:rFonts w:ascii="Palatino Linotype" w:hAnsi="Palatino Linotype"/>
          <w:b/>
          <w:bCs/>
          <w:i/>
          <w:u w:val="single"/>
        </w:rPr>
        <w:t>El Acuerdo de Clasificación de las cuotas descontadas por concepto de aportaciones al Sindicato del docente señalado en la solicitud de mérito, como información confidencial</w:t>
      </w:r>
      <w:r w:rsidRPr="00F8577C">
        <w:rPr>
          <w:rFonts w:ascii="Palatino Linotype" w:hAnsi="Palatino Linotype"/>
          <w:bCs/>
          <w:i/>
        </w:rPr>
        <w:t>, en términos de los artículos 49, fracción VIII y 132 de la Ley de Transparencia y Acceso a la Información Pública del Estado de México y Municipios.”</w:t>
      </w:r>
    </w:p>
    <w:p w:rsidR="00D86F02" w:rsidRPr="002669F2" w:rsidRDefault="00D86F02" w:rsidP="00F8577C">
      <w:pPr>
        <w:spacing w:after="0" w:line="240" w:lineRule="auto"/>
        <w:ind w:left="851" w:right="851"/>
        <w:jc w:val="both"/>
        <w:rPr>
          <w:rFonts w:ascii="Palatino Linotype" w:hAnsi="Palatino Linotype"/>
          <w:i/>
          <w:lang w:val="es-ES"/>
        </w:rPr>
      </w:pPr>
    </w:p>
    <w:p w:rsidR="00F8577C" w:rsidRDefault="00D86F02" w:rsidP="00F8577C">
      <w:pPr>
        <w:spacing w:after="0" w:line="240" w:lineRule="auto"/>
        <w:ind w:left="851" w:right="851"/>
        <w:jc w:val="both"/>
        <w:rPr>
          <w:rFonts w:ascii="Palatino Linotype" w:hAnsi="Palatino Linotype"/>
          <w:i/>
          <w:lang w:val="es-ES"/>
        </w:rPr>
      </w:pPr>
      <w:r>
        <w:rPr>
          <w:rFonts w:ascii="Palatino Linotype" w:hAnsi="Palatino Linotype"/>
          <w:b/>
          <w:i/>
          <w:lang w:val="es-ES"/>
        </w:rPr>
        <w:lastRenderedPageBreak/>
        <w:t>…</w:t>
      </w:r>
    </w:p>
    <w:p w:rsidR="00F8577C" w:rsidRPr="00F8577C" w:rsidRDefault="00D86F02" w:rsidP="00F8577C">
      <w:pPr>
        <w:spacing w:after="0" w:line="240" w:lineRule="auto"/>
        <w:ind w:left="851" w:right="851"/>
        <w:jc w:val="both"/>
        <w:rPr>
          <w:rFonts w:ascii="Palatino Linotype" w:hAnsi="Palatino Linotype"/>
          <w:i/>
          <w:lang w:val="es-ES"/>
        </w:rPr>
      </w:pPr>
      <w:r w:rsidRPr="002669F2">
        <w:rPr>
          <w:rFonts w:ascii="Palatino Linotype" w:hAnsi="Palatino Linotype"/>
          <w:b/>
          <w:i/>
          <w:lang w:val="es-ES"/>
        </w:rPr>
        <w:t xml:space="preserve">QUINTO. </w:t>
      </w:r>
      <w:r w:rsidR="00F8577C" w:rsidRPr="00F8577C">
        <w:rPr>
          <w:rFonts w:ascii="Palatino Linotype" w:hAnsi="Palatino Linotype"/>
          <w:b/>
          <w:i/>
          <w:u w:val="single"/>
        </w:rPr>
        <w:t>Hágase del conocimiento de LA RECURRENTE que de conformidad con lo establecido en el artículo 196 de la Ley de Transparencia</w:t>
      </w:r>
      <w:r w:rsidR="00F8577C" w:rsidRPr="00F8577C">
        <w:rPr>
          <w:rFonts w:ascii="Palatino Linotype" w:hAnsi="Palatino Linotype"/>
          <w:i/>
        </w:rPr>
        <w:t xml:space="preserve"> y Acceso a la Información Pública del Estado de México y Municipios, </w:t>
      </w:r>
      <w:r w:rsidR="00F8577C" w:rsidRPr="00F8577C">
        <w:rPr>
          <w:rFonts w:ascii="Palatino Linotype" w:hAnsi="Palatino Linotype"/>
          <w:b/>
          <w:i/>
          <w:u w:val="single"/>
        </w:rPr>
        <w:t>podrá impugnar la presente resolución vía Juicio de Amparo</w:t>
      </w:r>
      <w:r w:rsidR="00F8577C" w:rsidRPr="00F8577C">
        <w:rPr>
          <w:rFonts w:ascii="Palatino Linotype" w:hAnsi="Palatino Linotype"/>
          <w:i/>
        </w:rPr>
        <w:t xml:space="preserve"> en términos de las leyes aplicables. </w:t>
      </w:r>
    </w:p>
    <w:p w:rsidR="00D86F02" w:rsidRDefault="00D86F02" w:rsidP="00D86F02">
      <w:pPr>
        <w:spacing w:after="0" w:line="240" w:lineRule="auto"/>
        <w:ind w:left="851" w:right="851"/>
        <w:jc w:val="both"/>
        <w:rPr>
          <w:rFonts w:ascii="Palatino Linotype" w:hAnsi="Palatino Linotype"/>
          <w:i/>
          <w:lang w:val="es-ES"/>
        </w:rPr>
      </w:pPr>
    </w:p>
    <w:p w:rsidR="00D86F02" w:rsidRPr="002669F2" w:rsidRDefault="00D86F02" w:rsidP="00D86F02">
      <w:pPr>
        <w:spacing w:after="0" w:line="240" w:lineRule="auto"/>
        <w:ind w:left="851" w:right="851"/>
        <w:jc w:val="both"/>
        <w:rPr>
          <w:rFonts w:ascii="Palatino Linotype" w:hAnsi="Palatino Linotype"/>
          <w:i/>
          <w:lang w:val="es-ES"/>
        </w:rPr>
      </w:pPr>
      <w:r w:rsidRPr="002669F2">
        <w:rPr>
          <w:rFonts w:ascii="Palatino Linotype" w:hAnsi="Palatino Linotype"/>
          <w:b/>
          <w:i/>
          <w:lang w:val="es-ES_tradnl"/>
        </w:rPr>
        <w:t>Énfasis añadido.</w:t>
      </w:r>
    </w:p>
    <w:p w:rsidR="00D86F02" w:rsidRPr="007913E6" w:rsidRDefault="00D86F02" w:rsidP="00D86F02">
      <w:pPr>
        <w:spacing w:before="240" w:line="360" w:lineRule="auto"/>
        <w:contextualSpacing/>
        <w:jc w:val="both"/>
        <w:rPr>
          <w:rFonts w:ascii="Palatino Linotype" w:hAnsi="Palatino Linotype"/>
          <w:sz w:val="24"/>
          <w:szCs w:val="24"/>
        </w:rPr>
      </w:pPr>
    </w:p>
    <w:p w:rsidR="00D86F02" w:rsidRPr="007913E6" w:rsidRDefault="00D86F02" w:rsidP="00D86F02">
      <w:pPr>
        <w:spacing w:before="240" w:line="360" w:lineRule="auto"/>
        <w:contextualSpacing/>
        <w:jc w:val="both"/>
        <w:rPr>
          <w:rFonts w:ascii="Palatino Linotype" w:hAnsi="Palatino Linotype"/>
          <w:sz w:val="24"/>
          <w:szCs w:val="24"/>
        </w:rPr>
      </w:pPr>
      <w:r w:rsidRPr="007913E6">
        <w:rPr>
          <w:rFonts w:ascii="Palatino Linotype" w:hAnsi="Palatino Linotype"/>
          <w:sz w:val="24"/>
          <w:szCs w:val="24"/>
        </w:rPr>
        <w:t xml:space="preserve">De lo anterior, debe precisarse que si bien se comparte en términos generales el sentido de la resolución, empero a consideración del suscrito </w:t>
      </w:r>
      <w:r w:rsidRPr="007913E6">
        <w:rPr>
          <w:rFonts w:ascii="Palatino Linotype" w:hAnsi="Palatino Linotype" w:cs="Arial"/>
          <w:bCs/>
          <w:sz w:val="24"/>
          <w:szCs w:val="24"/>
        </w:rPr>
        <w:t xml:space="preserve">en el resolutivo </w:t>
      </w:r>
      <w:r>
        <w:rPr>
          <w:rFonts w:ascii="Palatino Linotype" w:hAnsi="Palatino Linotype" w:cs="Arial"/>
          <w:bCs/>
          <w:sz w:val="24"/>
          <w:szCs w:val="24"/>
        </w:rPr>
        <w:t>QUIN</w:t>
      </w:r>
      <w:r w:rsidRPr="007913E6">
        <w:rPr>
          <w:rFonts w:ascii="Palatino Linotype" w:hAnsi="Palatino Linotype" w:cs="Arial"/>
          <w:bCs/>
          <w:sz w:val="24"/>
          <w:szCs w:val="24"/>
        </w:rPr>
        <w:t xml:space="preserve">TO </w:t>
      </w:r>
      <w:r w:rsidRPr="007913E6">
        <w:rPr>
          <w:rFonts w:ascii="Palatino Linotype" w:hAnsi="Palatino Linotype"/>
          <w:color w:val="222222"/>
          <w:sz w:val="24"/>
          <w:szCs w:val="24"/>
          <w:lang w:eastAsia="es-ES_tradnl"/>
        </w:rPr>
        <w:t xml:space="preserve">debió  fundamentarse en lo previsto en los artículos 159 y 160 de la Ley General de Transparencia y Acceso a la Información Pública, es decir, se le debió notificar al particular que podía </w:t>
      </w:r>
      <w:r w:rsidRPr="007913E6">
        <w:rPr>
          <w:rFonts w:ascii="Palatino Linotype" w:hAnsi="Palatino Linotype"/>
          <w:sz w:val="24"/>
          <w:szCs w:val="24"/>
        </w:rPr>
        <w:t>impugnar la resolución vía recurso de inconformidad ante el Instituto Nacional de Transparencia, Acceso a la Información y Protección de Datos Personales</w:t>
      </w:r>
      <w:r w:rsidRPr="007913E6">
        <w:rPr>
          <w:rFonts w:ascii="Palatino Linotype" w:hAnsi="Palatino Linotype"/>
          <w:color w:val="222222"/>
          <w:sz w:val="24"/>
          <w:szCs w:val="24"/>
          <w:lang w:eastAsia="es-ES_tradnl"/>
        </w:rPr>
        <w:t>.</w:t>
      </w:r>
    </w:p>
    <w:p w:rsidR="00F8577C" w:rsidRPr="001C5F99" w:rsidRDefault="00D86F02" w:rsidP="00F8577C">
      <w:pPr>
        <w:spacing w:before="240" w:line="360" w:lineRule="auto"/>
        <w:contextualSpacing/>
        <w:jc w:val="both"/>
        <w:rPr>
          <w:rFonts w:ascii="Palatino Linotype" w:hAnsi="Palatino Linotype"/>
          <w:color w:val="222222"/>
          <w:sz w:val="24"/>
          <w:szCs w:val="24"/>
          <w:lang w:val="es-ES" w:eastAsia="es-ES_tradnl"/>
        </w:rPr>
      </w:pPr>
      <w:r w:rsidRPr="007913E6">
        <w:rPr>
          <w:rFonts w:ascii="Palatino Linotype" w:hAnsi="Palatino Linotype"/>
          <w:color w:val="222222"/>
          <w:sz w:val="24"/>
          <w:szCs w:val="24"/>
          <w:lang w:eastAsia="es-ES_tradnl"/>
        </w:rPr>
        <w:t xml:space="preserve">Lo anterior es así toda vez que no se debe perder de vista que </w:t>
      </w:r>
      <w:r>
        <w:rPr>
          <w:rFonts w:ascii="Palatino Linotype" w:hAnsi="Palatino Linotype"/>
          <w:color w:val="222222"/>
          <w:sz w:val="24"/>
          <w:szCs w:val="24"/>
          <w:lang w:eastAsia="es-ES_tradnl"/>
        </w:rPr>
        <w:t xml:space="preserve">el impetrante en el presente asunto requiere </w:t>
      </w:r>
      <w:r w:rsidRPr="00480AC3">
        <w:rPr>
          <w:rFonts w:ascii="Palatino Linotype" w:hAnsi="Palatino Linotype"/>
          <w:color w:val="222222"/>
          <w:sz w:val="24"/>
          <w:szCs w:val="24"/>
          <w:lang w:val="es-ES" w:eastAsia="es-ES_tradnl"/>
        </w:rPr>
        <w:t xml:space="preserve">conocer </w:t>
      </w:r>
      <w:r w:rsidR="00F8577C">
        <w:rPr>
          <w:rFonts w:ascii="Palatino Linotype" w:hAnsi="Palatino Linotype"/>
          <w:color w:val="222222"/>
          <w:sz w:val="24"/>
          <w:szCs w:val="24"/>
          <w:lang w:val="es-ES" w:eastAsia="es-ES_tradnl"/>
        </w:rPr>
        <w:t>las cuotas</w:t>
      </w:r>
      <w:r w:rsidR="00F8577C" w:rsidRPr="00F8577C">
        <w:t xml:space="preserve"> </w:t>
      </w:r>
      <w:r w:rsidR="001C5F99">
        <w:rPr>
          <w:rFonts w:ascii="Palatino Linotype" w:hAnsi="Palatino Linotype"/>
          <w:color w:val="222222"/>
          <w:sz w:val="24"/>
          <w:szCs w:val="24"/>
          <w:lang w:val="es-ES" w:eastAsia="es-ES_tradnl"/>
        </w:rPr>
        <w:t xml:space="preserve">sindicales descontadas a una persona durante el tiempo que laboró en la Universidad Politécnica del Valle de Toluca, en respuesta a la solicitud en comentó, el Sujeto Obligado </w:t>
      </w:r>
      <w:r w:rsidR="00F8577C" w:rsidRPr="00F8577C">
        <w:rPr>
          <w:rFonts w:ascii="Palatino Linotype" w:hAnsi="Palatino Linotype"/>
          <w:color w:val="222222"/>
          <w:sz w:val="24"/>
          <w:szCs w:val="24"/>
          <w:lang w:eastAsia="es-ES_tradnl"/>
        </w:rPr>
        <w:t xml:space="preserve">informó a través de la Jefa del Departamento de Recursos Humanos y Materiales, que respecto a las cuotas sindicales que el docente aportó para el logro de sus intereses gremiales, constituyen un haber patrimonial perteneciente a una persona jurídica de derecho social (sindicato) y la retención de dichas cuotas no constituyen un dato que deba darse a conocer a terceros que lo solicitan, cumpliendo con esto el supuesto establecido en el </w:t>
      </w:r>
      <w:r w:rsidR="00F8577C" w:rsidRPr="00F8577C">
        <w:rPr>
          <w:rFonts w:ascii="Palatino Linotype" w:hAnsi="Palatino Linotype"/>
          <w:color w:val="222222"/>
          <w:sz w:val="24"/>
          <w:szCs w:val="24"/>
          <w:lang w:eastAsia="es-ES_tradnl"/>
        </w:rPr>
        <w:lastRenderedPageBreak/>
        <w:t>artículo 143, fracción III de la Ley de Transparencia y Acceso a la Información Pública del Estado de México y Municipios; así como lo dispuesto por el artículo 1, fracción III de los Lineamientos sobre medidas de seguridad aplicables a los sistemas de datos personales y de la Ley de Protección de Datos Personales en Posesión de Sujetos Obligados del Estado de México y Municipios.</w:t>
      </w:r>
    </w:p>
    <w:p w:rsidR="00F8577C" w:rsidRPr="00F8577C" w:rsidRDefault="00F8577C" w:rsidP="00F8577C">
      <w:pPr>
        <w:spacing w:before="240" w:line="360" w:lineRule="auto"/>
        <w:contextualSpacing/>
        <w:jc w:val="both"/>
        <w:rPr>
          <w:rFonts w:ascii="Palatino Linotype" w:hAnsi="Palatino Linotype"/>
          <w:color w:val="222222"/>
          <w:sz w:val="24"/>
          <w:szCs w:val="24"/>
          <w:lang w:eastAsia="es-ES_tradnl"/>
        </w:rPr>
      </w:pPr>
    </w:p>
    <w:p w:rsidR="00D86F02" w:rsidRPr="001C5F99" w:rsidRDefault="00F8577C" w:rsidP="00D86F02">
      <w:pPr>
        <w:spacing w:before="240" w:line="360" w:lineRule="auto"/>
        <w:contextualSpacing/>
        <w:jc w:val="both"/>
        <w:rPr>
          <w:rFonts w:ascii="Palatino Linotype" w:hAnsi="Palatino Linotype"/>
          <w:color w:val="222222"/>
          <w:sz w:val="24"/>
          <w:szCs w:val="24"/>
          <w:lang w:eastAsia="es-ES_tradnl"/>
        </w:rPr>
      </w:pPr>
      <w:r w:rsidRPr="00F8577C">
        <w:rPr>
          <w:rFonts w:ascii="Palatino Linotype" w:hAnsi="Palatino Linotype"/>
          <w:color w:val="222222"/>
          <w:sz w:val="24"/>
          <w:szCs w:val="24"/>
          <w:lang w:eastAsia="es-ES_tradnl"/>
        </w:rPr>
        <w:t xml:space="preserve">Precisado lo anterior, se observa que en su respuesta, </w:t>
      </w:r>
      <w:r w:rsidRPr="00F8577C">
        <w:rPr>
          <w:rFonts w:ascii="Palatino Linotype" w:hAnsi="Palatino Linotype"/>
          <w:b/>
          <w:color w:val="222222"/>
          <w:sz w:val="24"/>
          <w:szCs w:val="24"/>
          <w:lang w:eastAsia="es-ES_tradnl"/>
        </w:rPr>
        <w:t>EL SUJETO OBLIGADO</w:t>
      </w:r>
      <w:r w:rsidRPr="00F8577C">
        <w:rPr>
          <w:rFonts w:ascii="Palatino Linotype" w:hAnsi="Palatino Linotype"/>
          <w:color w:val="222222"/>
          <w:sz w:val="24"/>
          <w:szCs w:val="24"/>
          <w:lang w:eastAsia="es-ES_tradnl"/>
        </w:rPr>
        <w:t xml:space="preserve"> señaló que la información requerida por la ciudadana le reviste la calidad de ser susceptible de ser clasificada como confidencial; sin embargo, fue omiso en remitir el Acuerdo de Clasificación que sustente su dicho, incumpliendo con ello lo dispuesto en el numeral 168 fracción III de la Ley de Transparencia y Acceso a la Información Pública del Estado de México y Municipios en vigor</w:t>
      </w:r>
      <w:r w:rsidR="001C5F99">
        <w:rPr>
          <w:rFonts w:ascii="Palatino Linotype" w:hAnsi="Palatino Linotype"/>
          <w:color w:val="222222"/>
          <w:sz w:val="24"/>
          <w:szCs w:val="24"/>
          <w:lang w:eastAsia="es-ES_tradnl"/>
        </w:rPr>
        <w:t xml:space="preserve">, motivo por el cual la Ponencia resolutora determinó que el Sujeto Obligado </w:t>
      </w:r>
      <w:r w:rsidR="001C5F99" w:rsidRPr="001C5F99">
        <w:rPr>
          <w:rFonts w:ascii="Palatino Linotype" w:hAnsi="Palatino Linotype"/>
          <w:color w:val="222222"/>
          <w:sz w:val="24"/>
          <w:szCs w:val="24"/>
          <w:lang w:val="es-ES" w:eastAsia="es-ES_tradnl"/>
        </w:rPr>
        <w:t>deberá remitir el debido Acuerdo de clasificación fundado y motivado donde determine la clasificación de la información como confidencial, de conformidad con lo dispuesto en los numerales 49 fracción VIII y 132 fracciones I, II y III de la Ley de Transparencia y Acceso a la Información Pública del Estado de México y Municipios, así como los numerales del Cuarto al Décimo Primero de los Lineamientos Generales en materia de Clasificación y Desclasificación de la Información, así como para la e</w:t>
      </w:r>
      <w:r w:rsidR="001C5F99">
        <w:rPr>
          <w:rFonts w:ascii="Palatino Linotype" w:hAnsi="Palatino Linotype"/>
          <w:color w:val="222222"/>
          <w:sz w:val="24"/>
          <w:szCs w:val="24"/>
          <w:lang w:val="es-ES" w:eastAsia="es-ES_tradnl"/>
        </w:rPr>
        <w:t>laboración de Versiones Pública</w:t>
      </w:r>
      <w:r w:rsidR="00D86F02" w:rsidRPr="007913E6">
        <w:rPr>
          <w:rFonts w:ascii="Palatino Linotype" w:hAnsi="Palatino Linotype" w:cs="Arial"/>
          <w:sz w:val="24"/>
          <w:szCs w:val="24"/>
        </w:rPr>
        <w:t xml:space="preserve">, con lo anterior a consideración del suscrito se está confirmando el acuerdo de clasificación </w:t>
      </w:r>
      <w:r w:rsidR="00D86F02" w:rsidRPr="007913E6">
        <w:rPr>
          <w:rFonts w:ascii="Palatino Linotype" w:hAnsi="Palatino Linotype" w:cs="Arial"/>
          <w:sz w:val="24"/>
          <w:szCs w:val="24"/>
        </w:rPr>
        <w:lastRenderedPageBreak/>
        <w:t>correspondiente, motivo por el cual, a partir de la interpretación</w:t>
      </w:r>
      <w:r w:rsidR="00D86F02" w:rsidRPr="007913E6">
        <w:rPr>
          <w:rStyle w:val="Refdenotaalpie"/>
          <w:rFonts w:ascii="Palatino Linotype" w:hAnsi="Palatino Linotype" w:cs="Arial"/>
          <w:sz w:val="24"/>
          <w:szCs w:val="24"/>
        </w:rPr>
        <w:footnoteReference w:id="1"/>
      </w:r>
      <w:r w:rsidR="00D86F02" w:rsidRPr="007913E6">
        <w:rPr>
          <w:rFonts w:ascii="Palatino Linotype" w:hAnsi="Palatino Linotype" w:cs="Arial"/>
          <w:sz w:val="24"/>
          <w:szCs w:val="24"/>
        </w:rPr>
        <w:t xml:space="preserve"> a los artículos 159 y 160 de la Ley General de Transparencia y Acceso a la Información Pública que son de la literalidad siguiente:</w:t>
      </w:r>
    </w:p>
    <w:p w:rsidR="00D86F02" w:rsidRPr="007913E6" w:rsidRDefault="00D86F02" w:rsidP="00D86F02">
      <w:pPr>
        <w:ind w:left="851" w:right="902"/>
        <w:jc w:val="both"/>
        <w:rPr>
          <w:rFonts w:ascii="Palatino Linotype" w:hAnsi="Palatino Linotype" w:cs="Arial"/>
          <w:i/>
        </w:rPr>
      </w:pPr>
      <w:r w:rsidRPr="007913E6">
        <w:rPr>
          <w:rFonts w:ascii="Palatino Linotype" w:hAnsi="Palatino Linotype" w:cs="Arial"/>
          <w:b/>
          <w:i/>
        </w:rPr>
        <w:t xml:space="preserve">“Artículo 159. </w:t>
      </w:r>
      <w:r w:rsidRPr="007913E6">
        <w:rPr>
          <w:rFonts w:ascii="Palatino Linotype" w:hAnsi="Palatino Linotype" w:cs="Arial"/>
          <w:b/>
          <w:i/>
          <w:u w:val="single"/>
        </w:rPr>
        <w:t>Tratándose de las resoluciones a los recursos de revisión de los Organismos garantes de las Entidades Federativas, los particulares podrán optar por acudir ante el Instituto</w:t>
      </w:r>
      <w:r w:rsidRPr="007913E6">
        <w:rPr>
          <w:rFonts w:ascii="Palatino Linotype" w:hAnsi="Palatino Linotype" w:cs="Arial"/>
          <w:i/>
        </w:rPr>
        <w:t xml:space="preserve"> o ante el Poder Judicial de la Federación.”</w:t>
      </w:r>
    </w:p>
    <w:p w:rsidR="00D86F02" w:rsidRPr="007913E6" w:rsidRDefault="00D86F02" w:rsidP="00D86F02">
      <w:pPr>
        <w:ind w:left="851" w:right="902"/>
        <w:jc w:val="both"/>
        <w:rPr>
          <w:rFonts w:ascii="Palatino Linotype" w:hAnsi="Palatino Linotype" w:cs="Arial"/>
          <w:i/>
        </w:rPr>
      </w:pPr>
      <w:r w:rsidRPr="007913E6">
        <w:rPr>
          <w:rFonts w:ascii="Palatino Linotype" w:hAnsi="Palatino Linotype" w:cs="Arial"/>
          <w:b/>
          <w:i/>
        </w:rPr>
        <w:t>“Artículo 160.</w:t>
      </w:r>
      <w:r w:rsidRPr="007913E6">
        <w:rPr>
          <w:rFonts w:ascii="Palatino Linotype" w:hAnsi="Palatino Linotype" w:cs="Arial"/>
          <w:i/>
        </w:rPr>
        <w:t xml:space="preserve"> El recurso de inconformidad procede contra las resoluciones emitidas por los Organismos garantes de las Entidades Federativas que:</w:t>
      </w:r>
    </w:p>
    <w:p w:rsidR="00D86F02" w:rsidRPr="007913E6" w:rsidRDefault="00D86F02" w:rsidP="00D86F02">
      <w:pPr>
        <w:ind w:left="851" w:right="902"/>
        <w:jc w:val="both"/>
        <w:rPr>
          <w:rFonts w:ascii="Palatino Linotype" w:hAnsi="Palatino Linotype" w:cs="Arial"/>
          <w:i/>
        </w:rPr>
      </w:pPr>
      <w:r w:rsidRPr="007913E6">
        <w:rPr>
          <w:rFonts w:ascii="Palatino Linotype" w:hAnsi="Palatino Linotype" w:cs="Arial"/>
          <w:b/>
          <w:i/>
        </w:rPr>
        <w:t>I.</w:t>
      </w:r>
      <w:r w:rsidRPr="007913E6">
        <w:rPr>
          <w:rFonts w:ascii="Palatino Linotype" w:hAnsi="Palatino Linotype" w:cs="Arial"/>
          <w:i/>
        </w:rPr>
        <w:t xml:space="preserve"> </w:t>
      </w:r>
      <w:r w:rsidRPr="007913E6">
        <w:rPr>
          <w:rFonts w:ascii="Palatino Linotype" w:hAnsi="Palatino Linotype" w:cs="Arial"/>
          <w:b/>
          <w:i/>
          <w:u w:val="single"/>
        </w:rPr>
        <w:t>Confirmen</w:t>
      </w:r>
      <w:r w:rsidRPr="007913E6">
        <w:rPr>
          <w:rFonts w:ascii="Palatino Linotype" w:hAnsi="Palatino Linotype" w:cs="Arial"/>
          <w:i/>
        </w:rPr>
        <w:t xml:space="preserve"> o modifiquen </w:t>
      </w:r>
      <w:r w:rsidRPr="007913E6">
        <w:rPr>
          <w:rFonts w:ascii="Palatino Linotype" w:hAnsi="Palatino Linotype" w:cs="Arial"/>
          <w:b/>
          <w:i/>
          <w:u w:val="single"/>
        </w:rPr>
        <w:t>la clasificación de la información</w:t>
      </w:r>
      <w:r w:rsidRPr="007913E6">
        <w:rPr>
          <w:rFonts w:ascii="Palatino Linotype" w:hAnsi="Palatino Linotype" w:cs="Arial"/>
          <w:i/>
        </w:rPr>
        <w:t>, (…)”</w:t>
      </w:r>
    </w:p>
    <w:p w:rsidR="00D86F02" w:rsidRPr="007913E6" w:rsidRDefault="00D86F02" w:rsidP="00D86F02">
      <w:pPr>
        <w:ind w:left="851" w:right="902"/>
        <w:jc w:val="both"/>
        <w:rPr>
          <w:rFonts w:ascii="Palatino Linotype" w:hAnsi="Palatino Linotype" w:cs="Arial"/>
          <w:i/>
        </w:rPr>
      </w:pPr>
      <w:r w:rsidRPr="007913E6">
        <w:rPr>
          <w:rFonts w:ascii="Palatino Linotype" w:hAnsi="Palatino Linotype" w:cs="Arial"/>
          <w:i/>
        </w:rPr>
        <w:t>Énfasis añadido.</w:t>
      </w:r>
    </w:p>
    <w:p w:rsidR="00D86F02" w:rsidRPr="007913E6" w:rsidRDefault="00D86F02" w:rsidP="00D86F02">
      <w:pPr>
        <w:spacing w:before="240" w:after="240" w:line="360" w:lineRule="auto"/>
        <w:jc w:val="both"/>
        <w:rPr>
          <w:rFonts w:ascii="Palatino Linotype" w:hAnsi="Palatino Linotype"/>
          <w:sz w:val="24"/>
          <w:szCs w:val="24"/>
        </w:rPr>
      </w:pPr>
      <w:r w:rsidRPr="007913E6">
        <w:rPr>
          <w:rFonts w:ascii="Palatino Linotype" w:hAnsi="Palatino Linotype" w:cs="Arial"/>
          <w:sz w:val="24"/>
          <w:szCs w:val="24"/>
        </w:rPr>
        <w:lastRenderedPageBreak/>
        <w:t xml:space="preserve">Debió considerarse </w:t>
      </w:r>
      <w:r w:rsidRPr="007913E6">
        <w:rPr>
          <w:rFonts w:ascii="Palatino Linotype" w:hAnsi="Palatino Linotype"/>
          <w:sz w:val="24"/>
          <w:szCs w:val="24"/>
        </w:rPr>
        <w:t xml:space="preserve">notificar a la particular que podía acudir ante el Instituto Nacional de Transparencia, Acceso a la Información y Protección de Datos Personales (INAI) o ante el Poder Judicial de la Federación para interponer recurso de inconformidad, </w:t>
      </w:r>
      <w:r w:rsidRPr="007913E6">
        <w:rPr>
          <w:rFonts w:ascii="Palatino Linotype" w:hAnsi="Palatino Linotype" w:cs="Arial"/>
          <w:sz w:val="24"/>
          <w:szCs w:val="24"/>
        </w:rPr>
        <w:t>favoreciendo con ello lo previsto en el artículo 1</w:t>
      </w:r>
      <w:r w:rsidRPr="007913E6">
        <w:rPr>
          <w:rStyle w:val="Refdenotaalpie"/>
          <w:rFonts w:ascii="Palatino Linotype" w:hAnsi="Palatino Linotype" w:cs="Arial"/>
          <w:sz w:val="24"/>
          <w:szCs w:val="24"/>
        </w:rPr>
        <w:footnoteReference w:id="2"/>
      </w:r>
      <w:r w:rsidRPr="007913E6">
        <w:rPr>
          <w:rFonts w:ascii="Palatino Linotype" w:hAnsi="Palatino Linotype" w:cs="Arial"/>
          <w:sz w:val="24"/>
          <w:szCs w:val="24"/>
        </w:rPr>
        <w:t xml:space="preserve"> de la Constitución Política de los Estados Unidos Mexicanos.</w:t>
      </w:r>
    </w:p>
    <w:p w:rsidR="00D86F02" w:rsidRPr="007913E6" w:rsidRDefault="00D86F02" w:rsidP="00D86F02">
      <w:pPr>
        <w:spacing w:before="240" w:after="240" w:line="360" w:lineRule="auto"/>
        <w:jc w:val="both"/>
        <w:rPr>
          <w:rFonts w:ascii="Palatino Linotype" w:hAnsi="Palatino Linotype"/>
          <w:sz w:val="24"/>
          <w:szCs w:val="24"/>
        </w:rPr>
      </w:pPr>
      <w:r w:rsidRPr="007913E6">
        <w:rPr>
          <w:rFonts w:ascii="Palatino Linotype" w:hAnsi="Palatino Linotype"/>
          <w:sz w:val="24"/>
          <w:szCs w:val="24"/>
        </w:rPr>
        <w:t>En este sentido y para abundar en el tema conviene precisar que los particulares podrán interponer recurso de inconformidad ante el INAI o ante el Poder Judicial de la Federación dentro de los quince días posteriores a que se tuvo conocimiento de la resolución mediante el sistema electrónico que para tales efectos haya dispuesto el INAI o por escrito.</w:t>
      </w:r>
    </w:p>
    <w:p w:rsidR="00D86F02" w:rsidRPr="007913E6" w:rsidRDefault="00D86F02" w:rsidP="00D86F02">
      <w:pPr>
        <w:spacing w:before="240" w:after="240" w:line="360" w:lineRule="auto"/>
        <w:jc w:val="both"/>
        <w:rPr>
          <w:rFonts w:ascii="Palatino Linotype" w:hAnsi="Palatino Linotype"/>
          <w:sz w:val="24"/>
          <w:szCs w:val="24"/>
        </w:rPr>
      </w:pPr>
      <w:r w:rsidRPr="007913E6">
        <w:rPr>
          <w:rFonts w:ascii="Palatino Linotype" w:hAnsi="Palatino Linotype"/>
          <w:sz w:val="24"/>
          <w:szCs w:val="24"/>
        </w:rPr>
        <w:t xml:space="preserve">Cabe considerar, que también se podrá presentar por escrito ante este Instituto, instancia que a su vez tiene la obligación de remitirlo al día siguiente de su recepción </w:t>
      </w:r>
      <w:r w:rsidRPr="007913E6">
        <w:rPr>
          <w:rFonts w:ascii="Palatino Linotype" w:hAnsi="Palatino Linotype"/>
          <w:sz w:val="24"/>
          <w:szCs w:val="24"/>
        </w:rPr>
        <w:lastRenderedPageBreak/>
        <w:t>al Organismo Garante de la Entidad Federativa, acompañado de la resolución impugnada.</w:t>
      </w:r>
    </w:p>
    <w:p w:rsidR="00D86F02" w:rsidRPr="007913E6" w:rsidRDefault="00D86F02" w:rsidP="00D86F02">
      <w:pPr>
        <w:spacing w:before="240" w:after="120" w:line="360" w:lineRule="auto"/>
        <w:jc w:val="both"/>
        <w:rPr>
          <w:rFonts w:ascii="Palatino Linotype" w:hAnsi="Palatino Linotype"/>
          <w:sz w:val="24"/>
          <w:szCs w:val="24"/>
        </w:rPr>
      </w:pPr>
      <w:r w:rsidRPr="007913E6">
        <w:rPr>
          <w:rFonts w:ascii="Palatino Linotype" w:hAnsi="Palatino Linotype"/>
          <w:sz w:val="24"/>
          <w:szCs w:val="24"/>
        </w:rPr>
        <w:t>Recurso de inconformidad, que deberá contener lo dispuesto en el artículo 162 de la Ley General de referencia, que reza de la siguiente forma:</w:t>
      </w:r>
    </w:p>
    <w:p w:rsidR="00D86F02" w:rsidRDefault="00D86F02" w:rsidP="00D86F02">
      <w:pPr>
        <w:ind w:left="851" w:right="902"/>
        <w:jc w:val="both"/>
        <w:rPr>
          <w:rFonts w:ascii="Palatino Linotype" w:hAnsi="Palatino Linotype"/>
          <w:b/>
          <w:i/>
        </w:rPr>
      </w:pPr>
    </w:p>
    <w:p w:rsidR="00D86F02" w:rsidRPr="007913E6" w:rsidRDefault="00D86F02" w:rsidP="00D86F02">
      <w:pPr>
        <w:ind w:left="851" w:right="902"/>
        <w:jc w:val="both"/>
        <w:rPr>
          <w:rFonts w:ascii="Palatino Linotype" w:hAnsi="Palatino Linotype"/>
          <w:i/>
        </w:rPr>
      </w:pPr>
      <w:r w:rsidRPr="007913E6">
        <w:rPr>
          <w:rFonts w:ascii="Palatino Linotype" w:hAnsi="Palatino Linotype"/>
          <w:b/>
          <w:i/>
        </w:rPr>
        <w:t>“Artículo 162.</w:t>
      </w:r>
      <w:r w:rsidRPr="007913E6">
        <w:rPr>
          <w:rFonts w:ascii="Palatino Linotype" w:hAnsi="Palatino Linotype"/>
          <w:i/>
        </w:rPr>
        <w:t xml:space="preserve"> El recurso de inconformidad deberá contener:  </w:t>
      </w:r>
    </w:p>
    <w:p w:rsidR="00D86F02" w:rsidRPr="007913E6" w:rsidRDefault="00D86F02" w:rsidP="00D86F02">
      <w:pPr>
        <w:ind w:left="1134" w:right="902"/>
        <w:jc w:val="both"/>
        <w:rPr>
          <w:rFonts w:ascii="Palatino Linotype" w:hAnsi="Palatino Linotype"/>
          <w:i/>
        </w:rPr>
      </w:pPr>
      <w:r w:rsidRPr="007913E6">
        <w:rPr>
          <w:rFonts w:ascii="Palatino Linotype" w:hAnsi="Palatino Linotype"/>
          <w:i/>
        </w:rPr>
        <w:t xml:space="preserve">I. El sujeto obligado ante el cual se presentó la solicitud;  </w:t>
      </w:r>
    </w:p>
    <w:p w:rsidR="00D86F02" w:rsidRPr="007913E6" w:rsidRDefault="00D86F02" w:rsidP="00D86F02">
      <w:pPr>
        <w:ind w:left="1134" w:right="902"/>
        <w:jc w:val="both"/>
        <w:rPr>
          <w:rFonts w:ascii="Palatino Linotype" w:hAnsi="Palatino Linotype"/>
          <w:i/>
        </w:rPr>
      </w:pPr>
      <w:r w:rsidRPr="007913E6">
        <w:rPr>
          <w:rFonts w:ascii="Palatino Linotype" w:hAnsi="Palatino Linotype"/>
          <w:i/>
        </w:rPr>
        <w:t xml:space="preserve">II. El número de la resolución del recurso de revisión de la resolución impugnada;  </w:t>
      </w:r>
    </w:p>
    <w:p w:rsidR="00D86F02" w:rsidRPr="007913E6" w:rsidRDefault="00D86F02" w:rsidP="00D86F02">
      <w:pPr>
        <w:ind w:left="1134" w:right="902"/>
        <w:jc w:val="both"/>
        <w:rPr>
          <w:rFonts w:ascii="Palatino Linotype" w:hAnsi="Palatino Linotype"/>
          <w:i/>
        </w:rPr>
      </w:pPr>
      <w:r w:rsidRPr="007913E6">
        <w:rPr>
          <w:rFonts w:ascii="Palatino Linotype" w:hAnsi="Palatino Linotype"/>
          <w:i/>
        </w:rPr>
        <w:t xml:space="preserve">III. El organismo garante que emitió la resolución que se impugna;  </w:t>
      </w:r>
    </w:p>
    <w:p w:rsidR="00D86F02" w:rsidRPr="007913E6" w:rsidRDefault="00D86F02" w:rsidP="00D86F02">
      <w:pPr>
        <w:ind w:left="1134" w:right="902"/>
        <w:jc w:val="both"/>
        <w:rPr>
          <w:rFonts w:ascii="Palatino Linotype" w:hAnsi="Palatino Linotype"/>
          <w:i/>
        </w:rPr>
      </w:pPr>
      <w:r w:rsidRPr="007913E6">
        <w:rPr>
          <w:rFonts w:ascii="Palatino Linotype" w:hAnsi="Palatino Linotype"/>
          <w:i/>
        </w:rPr>
        <w:t xml:space="preserve">IV. El nombre del inconforme y, en su caso, del tercero interesado, así como las correspondientes direcciones o medios para recibir notificaciones;  </w:t>
      </w:r>
    </w:p>
    <w:p w:rsidR="00D86F02" w:rsidRPr="007913E6" w:rsidRDefault="00D86F02" w:rsidP="00D86F02">
      <w:pPr>
        <w:ind w:left="1134" w:right="902"/>
        <w:jc w:val="both"/>
        <w:rPr>
          <w:rFonts w:ascii="Palatino Linotype" w:hAnsi="Palatino Linotype"/>
          <w:i/>
        </w:rPr>
      </w:pPr>
      <w:r w:rsidRPr="007913E6">
        <w:rPr>
          <w:rFonts w:ascii="Palatino Linotype" w:hAnsi="Palatino Linotype"/>
          <w:i/>
        </w:rPr>
        <w:t xml:space="preserve">V. La fecha en que fue notificada la resolución impugnada;  </w:t>
      </w:r>
    </w:p>
    <w:p w:rsidR="00D86F02" w:rsidRPr="007913E6" w:rsidRDefault="00D86F02" w:rsidP="00D86F02">
      <w:pPr>
        <w:ind w:left="1134" w:right="902"/>
        <w:jc w:val="both"/>
        <w:rPr>
          <w:rFonts w:ascii="Palatino Linotype" w:hAnsi="Palatino Linotype"/>
          <w:i/>
        </w:rPr>
      </w:pPr>
      <w:r w:rsidRPr="007913E6">
        <w:rPr>
          <w:rFonts w:ascii="Palatino Linotype" w:hAnsi="Palatino Linotype"/>
          <w:i/>
        </w:rPr>
        <w:t xml:space="preserve">VI. El acto que se recurre;  </w:t>
      </w:r>
    </w:p>
    <w:p w:rsidR="00D86F02" w:rsidRPr="007913E6" w:rsidRDefault="00D86F02" w:rsidP="00D86F02">
      <w:pPr>
        <w:ind w:left="1134" w:right="902"/>
        <w:jc w:val="both"/>
        <w:rPr>
          <w:rFonts w:ascii="Palatino Linotype" w:hAnsi="Palatino Linotype"/>
          <w:i/>
        </w:rPr>
      </w:pPr>
      <w:r w:rsidRPr="007913E6">
        <w:rPr>
          <w:rFonts w:ascii="Palatino Linotype" w:hAnsi="Palatino Linotype"/>
          <w:i/>
        </w:rPr>
        <w:t xml:space="preserve">VII. Las razones o motivos de la inconformidad, y  </w:t>
      </w:r>
    </w:p>
    <w:p w:rsidR="00D86F02" w:rsidRPr="007913E6" w:rsidRDefault="00D86F02" w:rsidP="00D86F02">
      <w:pPr>
        <w:ind w:left="1134" w:right="902"/>
        <w:jc w:val="both"/>
        <w:rPr>
          <w:rFonts w:ascii="Palatino Linotype" w:hAnsi="Palatino Linotype"/>
          <w:i/>
        </w:rPr>
      </w:pPr>
      <w:r w:rsidRPr="007913E6">
        <w:rPr>
          <w:rFonts w:ascii="Palatino Linotype" w:hAnsi="Palatino Linotype"/>
          <w:i/>
        </w:rPr>
        <w:t xml:space="preserve">VIII. La copia de la resolución que se impugna y, en su caso, de la notificación correspondiente.  </w:t>
      </w:r>
    </w:p>
    <w:p w:rsidR="00D86F02" w:rsidRPr="007913E6" w:rsidRDefault="00D86F02" w:rsidP="00D86F02">
      <w:pPr>
        <w:ind w:left="851" w:right="902"/>
        <w:jc w:val="both"/>
        <w:rPr>
          <w:rFonts w:ascii="Palatino Linotype" w:hAnsi="Palatino Linotype"/>
          <w:i/>
        </w:rPr>
      </w:pPr>
      <w:r w:rsidRPr="007913E6">
        <w:rPr>
          <w:rFonts w:ascii="Palatino Linotype" w:hAnsi="Palatino Linotype"/>
          <w:i/>
        </w:rPr>
        <w:t>El recurrente podrá anexar las pruebas y demás elementos que considere procedentes someter a consideración del organismo garante.”</w:t>
      </w:r>
    </w:p>
    <w:p w:rsidR="00D86F02" w:rsidRDefault="00D86F02" w:rsidP="00D86F02">
      <w:pPr>
        <w:spacing w:before="120" w:after="240" w:line="360" w:lineRule="auto"/>
        <w:jc w:val="both"/>
        <w:rPr>
          <w:rFonts w:ascii="Palatino Linotype" w:hAnsi="Palatino Linotype"/>
          <w:sz w:val="24"/>
          <w:szCs w:val="24"/>
        </w:rPr>
      </w:pPr>
    </w:p>
    <w:p w:rsidR="00D86F02" w:rsidRPr="007913E6" w:rsidRDefault="00D86F02" w:rsidP="00D86F02">
      <w:pPr>
        <w:spacing w:before="120" w:after="240" w:line="360" w:lineRule="auto"/>
        <w:jc w:val="both"/>
        <w:rPr>
          <w:rFonts w:ascii="Palatino Linotype" w:hAnsi="Palatino Linotype"/>
          <w:sz w:val="24"/>
          <w:szCs w:val="24"/>
        </w:rPr>
      </w:pPr>
      <w:r w:rsidRPr="007913E6">
        <w:rPr>
          <w:rFonts w:ascii="Palatino Linotype" w:hAnsi="Palatino Linotype"/>
          <w:sz w:val="24"/>
          <w:szCs w:val="24"/>
        </w:rPr>
        <w:t xml:space="preserve">Por lo que concluyó diciendo, que a fin de salvaguardar el derecho de acceso a la información del particular, se le debió notificar mediante el resolutivo </w:t>
      </w:r>
      <w:r>
        <w:rPr>
          <w:rFonts w:ascii="Palatino Linotype" w:hAnsi="Palatino Linotype"/>
          <w:sz w:val="24"/>
          <w:szCs w:val="24"/>
        </w:rPr>
        <w:t>QUIN</w:t>
      </w:r>
      <w:r w:rsidRPr="007913E6">
        <w:rPr>
          <w:rFonts w:ascii="Palatino Linotype" w:hAnsi="Palatino Linotype"/>
          <w:sz w:val="24"/>
          <w:szCs w:val="24"/>
        </w:rPr>
        <w:t xml:space="preserve">TO que </w:t>
      </w:r>
      <w:r w:rsidRPr="007913E6">
        <w:rPr>
          <w:rFonts w:ascii="Palatino Linotype" w:hAnsi="Palatino Linotype"/>
          <w:sz w:val="24"/>
          <w:szCs w:val="24"/>
        </w:rPr>
        <w:lastRenderedPageBreak/>
        <w:t>podía interponer recurso de inconformidad ante el Instituto Nacional de Transparencia, Acceso a la Información y Protección de Datos Personales (INAI) con base en lo dispuesto en los artículos 196 de la Ley de Transparencia y Acceso a la Información Pública del Estado de México de México y Municipios, 159 y 160 de la Ley General de Transparencia y Acceso a la Información Pública.</w:t>
      </w:r>
    </w:p>
    <w:p w:rsidR="00D86F02" w:rsidRPr="007913E6" w:rsidRDefault="00D86F02" w:rsidP="00D86F02">
      <w:pPr>
        <w:spacing w:before="120" w:after="240" w:line="360" w:lineRule="auto"/>
        <w:jc w:val="both"/>
        <w:rPr>
          <w:rFonts w:ascii="Palatino Linotype" w:hAnsi="Palatino Linotype"/>
        </w:rPr>
      </w:pPr>
      <w:r w:rsidRPr="00B51880">
        <w:rPr>
          <w:rFonts w:ascii="Palatino Linotype" w:hAnsi="Palatino Linotype"/>
          <w:sz w:val="24"/>
          <w:szCs w:val="24"/>
        </w:rPr>
        <w:t xml:space="preserve">Lo anterior, son razones suficientes para la </w:t>
      </w:r>
      <w:r>
        <w:rPr>
          <w:rFonts w:ascii="Palatino Linotype" w:hAnsi="Palatino Linotype"/>
          <w:sz w:val="24"/>
          <w:szCs w:val="24"/>
        </w:rPr>
        <w:t>emisión</w:t>
      </w:r>
      <w:r w:rsidRPr="00B51880">
        <w:rPr>
          <w:rFonts w:ascii="Palatino Linotype" w:hAnsi="Palatino Linotype"/>
          <w:sz w:val="24"/>
          <w:szCs w:val="24"/>
        </w:rPr>
        <w:t xml:space="preserve"> y presentación de</w:t>
      </w:r>
      <w:r>
        <w:rPr>
          <w:rFonts w:ascii="Palatino Linotype" w:hAnsi="Palatino Linotype"/>
          <w:sz w:val="24"/>
          <w:szCs w:val="24"/>
        </w:rPr>
        <w:t xml:space="preserve">l presente Voto Particular relacionado con la resolución del recurso de revisión referido. </w:t>
      </w:r>
    </w:p>
    <w:p w:rsidR="00D86F02" w:rsidRDefault="00D86F02" w:rsidP="00D86F02">
      <w:pPr>
        <w:spacing w:after="0" w:line="240" w:lineRule="auto"/>
        <w:jc w:val="center"/>
        <w:rPr>
          <w:rFonts w:ascii="Palatino Linotype" w:hAnsi="Palatino Linotype"/>
          <w:b/>
          <w:sz w:val="24"/>
          <w:szCs w:val="24"/>
        </w:rPr>
      </w:pPr>
    </w:p>
    <w:p w:rsidR="00D86F02" w:rsidRDefault="00D86F02" w:rsidP="00D86F02">
      <w:pPr>
        <w:spacing w:after="0" w:line="240" w:lineRule="auto"/>
        <w:jc w:val="center"/>
        <w:rPr>
          <w:rFonts w:ascii="Palatino Linotype" w:hAnsi="Palatino Linotype"/>
          <w:b/>
          <w:sz w:val="24"/>
          <w:szCs w:val="24"/>
        </w:rPr>
      </w:pPr>
    </w:p>
    <w:p w:rsidR="00D86F02" w:rsidRDefault="00D86F02" w:rsidP="00D86F02">
      <w:pPr>
        <w:spacing w:after="0" w:line="240" w:lineRule="auto"/>
        <w:jc w:val="center"/>
        <w:rPr>
          <w:rFonts w:ascii="Palatino Linotype" w:hAnsi="Palatino Linotype"/>
          <w:b/>
          <w:sz w:val="24"/>
          <w:szCs w:val="24"/>
        </w:rPr>
      </w:pPr>
    </w:p>
    <w:p w:rsidR="00D86F02" w:rsidRDefault="00D86F02" w:rsidP="00D86F02">
      <w:pPr>
        <w:spacing w:after="0" w:line="240" w:lineRule="auto"/>
        <w:jc w:val="center"/>
        <w:rPr>
          <w:rFonts w:ascii="Palatino Linotype" w:hAnsi="Palatino Linotype"/>
          <w:b/>
          <w:sz w:val="24"/>
          <w:szCs w:val="24"/>
        </w:rPr>
      </w:pPr>
    </w:p>
    <w:p w:rsidR="00D86F02" w:rsidRDefault="00D86F02" w:rsidP="00D86F02">
      <w:pPr>
        <w:spacing w:after="0" w:line="240" w:lineRule="auto"/>
        <w:jc w:val="center"/>
        <w:rPr>
          <w:rFonts w:ascii="Palatino Linotype" w:hAnsi="Palatino Linotype"/>
          <w:b/>
          <w:sz w:val="24"/>
          <w:szCs w:val="24"/>
        </w:rPr>
      </w:pPr>
    </w:p>
    <w:p w:rsidR="00D86F02" w:rsidRPr="00B51880" w:rsidRDefault="00D86F02" w:rsidP="00D86F02">
      <w:pPr>
        <w:spacing w:after="0" w:line="240" w:lineRule="auto"/>
        <w:jc w:val="center"/>
        <w:rPr>
          <w:rFonts w:ascii="Palatino Linotype" w:hAnsi="Palatino Linotype"/>
          <w:b/>
          <w:sz w:val="24"/>
          <w:szCs w:val="24"/>
        </w:rPr>
      </w:pPr>
      <w:r w:rsidRPr="00B51880">
        <w:rPr>
          <w:rFonts w:ascii="Palatino Linotype" w:hAnsi="Palatino Linotype"/>
          <w:b/>
          <w:sz w:val="24"/>
          <w:szCs w:val="24"/>
        </w:rPr>
        <w:t>Javier Martínez Cruz</w:t>
      </w:r>
    </w:p>
    <w:p w:rsidR="00D86F02" w:rsidRDefault="00D86F02" w:rsidP="00D86F02">
      <w:pPr>
        <w:spacing w:after="0" w:line="240" w:lineRule="auto"/>
        <w:jc w:val="center"/>
        <w:rPr>
          <w:rFonts w:ascii="Palatino Linotype" w:hAnsi="Palatino Linotype"/>
          <w:b/>
          <w:sz w:val="24"/>
          <w:szCs w:val="24"/>
        </w:rPr>
      </w:pPr>
      <w:r w:rsidRPr="00B51880">
        <w:rPr>
          <w:rFonts w:ascii="Palatino Linotype" w:hAnsi="Palatino Linotype"/>
          <w:b/>
          <w:sz w:val="24"/>
          <w:szCs w:val="24"/>
        </w:rPr>
        <w:t>Comisionado</w:t>
      </w:r>
    </w:p>
    <w:p w:rsidR="00D86F02" w:rsidRDefault="00D86F02" w:rsidP="00D86F02">
      <w:pPr>
        <w:spacing w:after="0" w:line="240" w:lineRule="auto"/>
        <w:jc w:val="center"/>
        <w:rPr>
          <w:rFonts w:ascii="Palatino Linotype" w:hAnsi="Palatino Linotype"/>
          <w:b/>
          <w:sz w:val="24"/>
          <w:szCs w:val="24"/>
        </w:rPr>
      </w:pPr>
    </w:p>
    <w:p w:rsidR="00D86F02" w:rsidRPr="00D318C0" w:rsidRDefault="00D86F02" w:rsidP="00D86F02">
      <w:pPr>
        <w:spacing w:after="0" w:line="240" w:lineRule="auto"/>
        <w:jc w:val="center"/>
        <w:rPr>
          <w:rFonts w:ascii="Palatino Linotype" w:hAnsi="Palatino Linotype"/>
          <w:sz w:val="24"/>
          <w:szCs w:val="24"/>
        </w:rPr>
      </w:pPr>
    </w:p>
    <w:p w:rsidR="00D86F02" w:rsidRPr="00966EC6" w:rsidRDefault="00D86F02" w:rsidP="00D86F02">
      <w:pPr>
        <w:rPr>
          <w:rFonts w:ascii="Palatino Linotype" w:hAnsi="Palatino Linotype"/>
          <w:b/>
          <w:sz w:val="24"/>
          <w:szCs w:val="24"/>
        </w:rPr>
      </w:pPr>
    </w:p>
    <w:p w:rsidR="00D86F02" w:rsidRDefault="00D86F02" w:rsidP="00D86F02"/>
    <w:p w:rsidR="00D86F02" w:rsidRDefault="00D86F02" w:rsidP="00D86F02"/>
    <w:p w:rsidR="002B6CAC" w:rsidRDefault="002B6CAC"/>
    <w:sectPr w:rsidR="002B6CAC" w:rsidSect="007F0307">
      <w:headerReference w:type="even" r:id="rId7"/>
      <w:headerReference w:type="default" r:id="rId8"/>
      <w:footerReference w:type="default" r:id="rId9"/>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810" w:rsidRDefault="00864810" w:rsidP="00D86F02">
      <w:pPr>
        <w:spacing w:after="0" w:line="240" w:lineRule="auto"/>
      </w:pPr>
      <w:r>
        <w:separator/>
      </w:r>
    </w:p>
  </w:endnote>
  <w:endnote w:type="continuationSeparator" w:id="0">
    <w:p w:rsidR="00864810" w:rsidRDefault="00864810" w:rsidP="00D86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Pr="00986599" w:rsidRDefault="00DC0FB4"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B704E">
      <w:rPr>
        <w:rFonts w:ascii="Arial" w:hAnsi="Arial" w:cs="Arial"/>
        <w:b/>
        <w:bCs/>
        <w:noProof/>
        <w:sz w:val="20"/>
        <w:szCs w:val="20"/>
      </w:rPr>
      <w:t>9</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B704E">
      <w:rPr>
        <w:rFonts w:ascii="Arial" w:hAnsi="Arial" w:cs="Arial"/>
        <w:b/>
        <w:bCs/>
        <w:noProof/>
        <w:sz w:val="20"/>
        <w:szCs w:val="20"/>
      </w:rPr>
      <w:t>9</w:t>
    </w:r>
    <w:r w:rsidRPr="00986599">
      <w:rPr>
        <w:rFonts w:ascii="Arial" w:hAnsi="Arial" w:cs="Arial"/>
        <w:b/>
        <w:bCs/>
        <w:sz w:val="20"/>
        <w:szCs w:val="20"/>
      </w:rPr>
      <w:fldChar w:fldCharType="end"/>
    </w:r>
  </w:p>
  <w:p w:rsidR="007F0307" w:rsidRDefault="00864810" w:rsidP="007F0307">
    <w:pPr>
      <w:pStyle w:val="Piedepgina"/>
      <w:jc w:val="right"/>
    </w:pPr>
  </w:p>
  <w:p w:rsidR="003A7B43" w:rsidRDefault="00864810"/>
  <w:p w:rsidR="003A7B43" w:rsidRDefault="008648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810" w:rsidRDefault="00864810" w:rsidP="00D86F02">
      <w:pPr>
        <w:spacing w:after="0" w:line="240" w:lineRule="auto"/>
      </w:pPr>
      <w:r>
        <w:separator/>
      </w:r>
    </w:p>
  </w:footnote>
  <w:footnote w:type="continuationSeparator" w:id="0">
    <w:p w:rsidR="00864810" w:rsidRDefault="00864810" w:rsidP="00D86F02">
      <w:pPr>
        <w:spacing w:after="0" w:line="240" w:lineRule="auto"/>
      </w:pPr>
      <w:r>
        <w:continuationSeparator/>
      </w:r>
    </w:p>
  </w:footnote>
  <w:footnote w:id="1">
    <w:p w:rsidR="00D86F02" w:rsidRPr="0072797F" w:rsidRDefault="00D86F02" w:rsidP="00D86F02">
      <w:pPr>
        <w:pStyle w:val="Textonotapie"/>
        <w:jc w:val="both"/>
        <w:rPr>
          <w:rFonts w:ascii="Palatino Linotype" w:hAnsi="Palatino Linotype"/>
          <w:i/>
          <w:sz w:val="18"/>
          <w:szCs w:val="18"/>
        </w:rPr>
      </w:pPr>
      <w:r>
        <w:rPr>
          <w:rStyle w:val="Refdenotaalpie"/>
        </w:rPr>
        <w:footnoteRef/>
      </w:r>
      <w:r>
        <w:t xml:space="preserve"> </w:t>
      </w:r>
      <w:r w:rsidRPr="0072797F">
        <w:rPr>
          <w:rFonts w:ascii="Palatino Linotype" w:hAnsi="Palatino Linotype"/>
          <w:i/>
          <w:sz w:val="18"/>
          <w:szCs w:val="18"/>
        </w:rPr>
        <w:t xml:space="preserve">Cfr. </w:t>
      </w:r>
      <w:r w:rsidRPr="0072797F">
        <w:rPr>
          <w:rFonts w:ascii="Palatino Linotype" w:hAnsi="Palatino Linotype"/>
          <w:sz w:val="18"/>
          <w:szCs w:val="18"/>
        </w:rPr>
        <w:t xml:space="preserve">Tesis Aislada de la Décima Época P. II/2017 (10a.) </w:t>
      </w:r>
      <w:r w:rsidRPr="0072797F">
        <w:rPr>
          <w:rFonts w:ascii="Palatino Linotype" w:hAnsi="Palatino Linotype"/>
          <w:i/>
          <w:sz w:val="18"/>
          <w:szCs w:val="18"/>
        </w:rPr>
        <w:t>INTERPRETACIÓN CONFORME. SUS ALCANCES EN RELACIÓN CON EL PRINCIPIO DE INTERPRETACIÓN MÁS FAVORABLE A LA PERSONA. El principio de interpretación conforme se fundamenta en el diverso de conservación legal, lo que supone que dicha interpretación está limitada por dos aspectos: uno subjetivo y otro objetivo; por un lado, aquél encuentra su límite en la voluntad del legislador, es decir, se relaciona con la funcionalidad y el alcance que el legislador imprimió a la norma y, por otro, el criterio objetivo es el resultado final o el propio texto de la norma en cuestión. En el caso de la voluntad objetiva del legislador, la interpretación conforme puede realizarse siempre y cuando el sentido normativo resultante de la ley no conlleve una distorsión, sino una atemperación o adecuación frente al texto original de la disposición normativa impugnada; asimismo, el principio de interpretación conforme se fundamenta en una presunción general de validez de las normas que tiene como propósito la conservación de las leyes; por ello, se trata de un método que opera antes de estimar inconstitucional o inconvencional un precepto legal. En ese sentido, sólo cuando exista una clara incompatibilidad o contradicción que se torne insalvable entre una norma ordinaria y la Constitución Política de los Estados Unidos Mexicanos o algún instrumento internacional, se realizará una declaración de inconstitucionalidad o, en su caso, de inconvencionalidad; por tanto, el operador jurídico, al utilizar el principio de interpretación conforme, deberá agotar todas las posibilidades de encontrar en la disposición normativa impugnada un significado que la haga compatible con la Constitución o con algún instrumento internacional. Al respecto, dicha técnica interpretativa está íntimamente vinculada con el principio de interpretación más favorable a la persona, el cual obliga a maximizar la interpretación conforme de todas las normas expedidas por el legislador al texto constitucional y a los instrumentos internacionales, en aquellos escenarios en los que permita la efectividad de los derechos humanos de las personas frente al vacío legislativo que previsiblemente pudiera ocasionar la declaración de inconstitucionalidad de la disposición de observancia general. Por tanto, mientras la interpretación conforme supone armonizar su contenido con el texto constitucional, el principio de interpretación más favorable a la persona lo potencia significativamente, al obligar al operador jurídico a optar por la disposición que más beneficie a la persona y en todo caso a la sociedad.</w:t>
      </w:r>
    </w:p>
  </w:footnote>
  <w:footnote w:id="2">
    <w:p w:rsidR="00D86F02" w:rsidRPr="0072797F" w:rsidRDefault="00D86F02" w:rsidP="00D86F02">
      <w:pPr>
        <w:pStyle w:val="Textonotapie"/>
        <w:jc w:val="both"/>
        <w:rPr>
          <w:rFonts w:ascii="Palatino Linotype" w:hAnsi="Palatino Linotype"/>
          <w:i/>
          <w:sz w:val="18"/>
          <w:szCs w:val="18"/>
        </w:rPr>
      </w:pPr>
      <w:r>
        <w:rPr>
          <w:rStyle w:val="Refdenotaalpie"/>
        </w:rPr>
        <w:footnoteRef/>
      </w:r>
      <w:r>
        <w:t xml:space="preserve"> </w:t>
      </w:r>
      <w:r w:rsidRPr="0072797F">
        <w:rPr>
          <w:rFonts w:ascii="Palatino Linotype" w:hAnsi="Palatino Linotype"/>
          <w:i/>
          <w:sz w:val="18"/>
          <w:szCs w:val="18"/>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Está prohibida la esclavitud en los Estados Unidos Mexicanos. Los esclavos del extranjero que entren al territorio nacional alcanzarán, por este solo hecho, su libertad y la protección de las leyes. 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DC0FB4">
    <w:pPr>
      <w:pStyle w:val="Encabezado"/>
    </w:pPr>
    <w:r>
      <w:rPr>
        <w:noProof/>
        <w:lang w:val="es-MX" w:eastAsia="es-MX"/>
      </w:rPr>
      <mc:AlternateContent>
        <mc:Choice Requires="wps">
          <w:drawing>
            <wp:anchor distT="0" distB="0" distL="114300" distR="114300" simplePos="0" relativeHeight="251656704" behindDoc="1" locked="0" layoutInCell="0" allowOverlap="1" wp14:anchorId="41A278AE" wp14:editId="10FC820E">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307" w:rsidRDefault="00DC0FB4"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A278AE"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DC0FB4"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p w:rsidR="003A7B43" w:rsidRDefault="00864810"/>
  <w:p w:rsidR="003A7B43" w:rsidRDefault="0086481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DC0FB4" w:rsidP="007F0307">
    <w:pPr>
      <w:pStyle w:val="Encabezado"/>
      <w:jc w:val="right"/>
      <w:rPr>
        <w:rFonts w:ascii="Arial" w:hAnsi="Arial" w:cs="Arial"/>
        <w:sz w:val="20"/>
        <w:szCs w:val="20"/>
      </w:rPr>
    </w:pPr>
    <w:r>
      <w:rPr>
        <w:noProof/>
        <w:lang w:val="es-MX" w:eastAsia="es-MX"/>
      </w:rPr>
      <w:drawing>
        <wp:anchor distT="0" distB="0" distL="114300" distR="114300" simplePos="0" relativeHeight="251657728" behindDoc="1" locked="0" layoutInCell="1" allowOverlap="1" wp14:anchorId="42161A91" wp14:editId="65061174">
          <wp:simplePos x="0" y="0"/>
          <wp:positionH relativeFrom="column">
            <wp:posOffset>-1102834</wp:posOffset>
          </wp:positionH>
          <wp:positionV relativeFrom="paragraph">
            <wp:posOffset>-475283</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986986339"/>
        <w:docPartObj>
          <w:docPartGallery w:val="Watermarks"/>
          <w:docPartUnique/>
        </w:docPartObj>
      </w:sdtPr>
      <w:sdtEndPr/>
      <w:sdtContent>
        <w:r w:rsidR="00864810">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944220" o:spid="_x0000_s2049" type="#_x0000_t136" style="position:absolute;left:0;text-align:left;margin-left:0;margin-top:0;width:553.7pt;height:75.5pt;rotation:315;z-index:-251657728;mso-position-horizontal:center;mso-position-horizontal-relative:margin;mso-position-vertical:center;mso-position-vertical-relative:margin" o:allowincell="f" fillcolor="#d8d8d8" stroked="f">
              <v:fill opacity=".5"/>
              <v:textpath style="font-family:&quot;Palatino Linotype&quot;;font-size:1pt" string="VOTO   PARTICULAR"/>
              <w10:wrap anchorx="margin" anchory="margin"/>
            </v:shape>
          </w:pict>
        </w:r>
      </w:sdtContent>
    </w:sdt>
  </w:p>
  <w:p w:rsidR="007F0307" w:rsidRDefault="00864810" w:rsidP="007F0307">
    <w:pPr>
      <w:pStyle w:val="Encabezado"/>
      <w:jc w:val="right"/>
      <w:rPr>
        <w:rFonts w:ascii="Arial" w:hAnsi="Arial" w:cs="Arial"/>
        <w:sz w:val="20"/>
        <w:szCs w:val="20"/>
      </w:rPr>
    </w:pPr>
  </w:p>
  <w:p w:rsidR="007F0307" w:rsidRDefault="00864810" w:rsidP="007F0307">
    <w:pPr>
      <w:pStyle w:val="Encabezado"/>
      <w:jc w:val="right"/>
      <w:rPr>
        <w:rFonts w:ascii="Arial" w:hAnsi="Arial" w:cs="Arial"/>
        <w:sz w:val="20"/>
        <w:szCs w:val="20"/>
      </w:rPr>
    </w:pPr>
  </w:p>
  <w:p w:rsidR="007F0307" w:rsidRPr="00563D0F" w:rsidRDefault="00DC0FB4" w:rsidP="007F030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r w:rsidRPr="00563D0F">
      <w:rPr>
        <w:rFonts w:ascii="Palatino Linotype" w:hAnsi="Palatino Linotype" w:cs="Arial"/>
        <w:b/>
        <w:sz w:val="20"/>
        <w:szCs w:val="20"/>
      </w:rPr>
      <w:t xml:space="preserve"> </w:t>
    </w:r>
  </w:p>
  <w:p w:rsidR="007F0307" w:rsidRPr="00B976C5" w:rsidRDefault="00DC0FB4" w:rsidP="00B976C5">
    <w:pPr>
      <w:pStyle w:val="Encabezado"/>
      <w:jc w:val="right"/>
      <w:rPr>
        <w:rFonts w:ascii="Palatino Linotype" w:hAnsi="Palatino Linotype"/>
        <w:b/>
        <w:sz w:val="22"/>
        <w:szCs w:val="22"/>
        <w:lang w:val="es-ES_tradnl"/>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Pr>
        <w:rFonts w:ascii="Palatino Linotype" w:hAnsi="Palatino Linotype"/>
        <w:b/>
        <w:sz w:val="22"/>
        <w:szCs w:val="22"/>
        <w:lang w:val="es-ES_tradnl"/>
      </w:rPr>
      <w:t>03</w:t>
    </w:r>
    <w:r w:rsidR="00D86F02">
      <w:rPr>
        <w:rFonts w:ascii="Palatino Linotype" w:hAnsi="Palatino Linotype"/>
        <w:b/>
        <w:sz w:val="22"/>
        <w:szCs w:val="22"/>
        <w:lang w:val="es-ES_tradnl"/>
      </w:rPr>
      <w:t>402</w:t>
    </w:r>
    <w:r>
      <w:rPr>
        <w:rFonts w:ascii="Palatino Linotype" w:hAnsi="Palatino Linotype"/>
        <w:b/>
        <w:sz w:val="22"/>
        <w:szCs w:val="22"/>
        <w:lang w:val="es-ES_tradnl"/>
      </w:rPr>
      <w:t>/INFOEM/IP/RR/2018.</w:t>
    </w:r>
  </w:p>
  <w:p w:rsidR="007F0307" w:rsidRDefault="00864810" w:rsidP="007F0307">
    <w:pPr>
      <w:pStyle w:val="Encabezado"/>
      <w:jc w:val="right"/>
      <w:rPr>
        <w:rFonts w:ascii="Palatino Linotype" w:hAnsi="Palatino Linotype" w:cs="Arial"/>
        <w:sz w:val="20"/>
        <w:szCs w:val="20"/>
      </w:rPr>
    </w:pPr>
  </w:p>
  <w:p w:rsidR="00D40FD0" w:rsidRDefault="00864810" w:rsidP="007F030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C61B81"/>
    <w:multiLevelType w:val="hybridMultilevel"/>
    <w:tmpl w:val="BB52D880"/>
    <w:lvl w:ilvl="0" w:tplc="C8A02C88">
      <w:start w:val="1"/>
      <w:numFmt w:val="ordinalText"/>
      <w:lvlText w:val="%1."/>
      <w:lvlJc w:val="left"/>
      <w:pPr>
        <w:ind w:left="720"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F02"/>
    <w:rsid w:val="001B7A04"/>
    <w:rsid w:val="001C5F99"/>
    <w:rsid w:val="001C7830"/>
    <w:rsid w:val="002413B4"/>
    <w:rsid w:val="002B6CAC"/>
    <w:rsid w:val="005B704E"/>
    <w:rsid w:val="0068255C"/>
    <w:rsid w:val="006D5F84"/>
    <w:rsid w:val="00864810"/>
    <w:rsid w:val="00D86F02"/>
    <w:rsid w:val="00DC0FB4"/>
    <w:rsid w:val="00EA6935"/>
    <w:rsid w:val="00F857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D23E067-87E2-4AF8-9E50-7CAA99943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F02"/>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F0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D86F0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86F0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86F02"/>
    <w:rPr>
      <w:rFonts w:ascii="Times New Roman" w:eastAsia="Times New Roman" w:hAnsi="Times New Roman" w:cs="Times New Roman"/>
      <w:sz w:val="24"/>
      <w:szCs w:val="24"/>
      <w:lang w:val="es-ES" w:eastAsia="es-ES"/>
    </w:rPr>
  </w:style>
  <w:style w:type="paragraph" w:styleId="NormalWeb">
    <w:name w:val="Normal (Web)"/>
    <w:basedOn w:val="Normal"/>
    <w:uiPriority w:val="99"/>
    <w:rsid w:val="00D86F0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86F0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86F02"/>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rsid w:val="00D86F02"/>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uiPriority w:val="72"/>
    <w:qFormat/>
    <w:rsid w:val="00F8577C"/>
    <w:pPr>
      <w:spacing w:after="0" w:line="240" w:lineRule="auto"/>
      <w:ind w:left="720"/>
      <w:contextualSpacing/>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C5F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5F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1641</Words>
  <Characters>9027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2018-11-12T19:37:00Z</cp:lastPrinted>
  <dcterms:created xsi:type="dcterms:W3CDTF">2018-11-12T16:19:00Z</dcterms:created>
  <dcterms:modified xsi:type="dcterms:W3CDTF">2019-02-20T21:51:00Z</dcterms:modified>
</cp:coreProperties>
</file>